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3A8C3D94" w:rsidR="00E66558" w:rsidRDefault="00853023">
      <w:pPr>
        <w:pStyle w:val="Heading1"/>
      </w:pPr>
      <w:bookmarkStart w:id="0" w:name="_Toc400361362"/>
      <w:bookmarkStart w:id="1" w:name="_Toc443397153"/>
      <w:bookmarkStart w:id="2" w:name="_Toc357771638"/>
      <w:bookmarkStart w:id="3" w:name="_Toc346793416"/>
      <w:bookmarkStart w:id="4" w:name="_Toc328122777"/>
      <w:r>
        <w:rPr>
          <w:noProof/>
        </w:rPr>
        <w:drawing>
          <wp:inline distT="0" distB="0" distL="0" distR="0" wp14:anchorId="02A11022" wp14:editId="1D954A43">
            <wp:extent cx="352425" cy="428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587" cy="432335"/>
                    </a:xfrm>
                    <a:prstGeom prst="rect">
                      <a:avLst/>
                    </a:prstGeom>
                    <a:noFill/>
                  </pic:spPr>
                </pic:pic>
              </a:graphicData>
            </a:graphic>
          </wp:inline>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9E1CC7">
        <w:t xml:space="preserve"> 202</w:t>
      </w:r>
      <w:r w:rsidR="001D1273">
        <w:t>2</w:t>
      </w:r>
      <w:r w:rsidR="009E1CC7">
        <w:t>-202</w:t>
      </w:r>
      <w:r w:rsidR="001D1273">
        <w:t>5</w:t>
      </w:r>
    </w:p>
    <w:p w14:paraId="7302C96B" w14:textId="31C64016" w:rsidR="00E411B5" w:rsidRPr="00E411B5" w:rsidRDefault="00E411B5" w:rsidP="00E411B5">
      <w:pPr>
        <w:jc w:val="center"/>
      </w:pPr>
      <w:r>
        <w:t>(Due to be approved by Governors 6.11.2024)</w:t>
      </w:r>
    </w:p>
    <w:p w14:paraId="53BC0940" w14:textId="1B166700" w:rsidR="00853023" w:rsidRDefault="009E1CC7" w:rsidP="009E1CC7">
      <w:pPr>
        <w:pStyle w:val="Heading2"/>
        <w:rPr>
          <w:b w:val="0"/>
          <w:color w:val="000000" w:themeColor="text1"/>
          <w:sz w:val="22"/>
          <w:szCs w:val="22"/>
        </w:rPr>
      </w:pPr>
      <w:r w:rsidRPr="00246729">
        <w:rPr>
          <w:b w:val="0"/>
          <w:color w:val="000000" w:themeColor="text1"/>
          <w:sz w:val="22"/>
          <w:szCs w:val="22"/>
        </w:rPr>
        <w:t xml:space="preserve">Using the best practice advice from the DFE and the EEF, </w:t>
      </w:r>
      <w:proofErr w:type="spellStart"/>
      <w:r w:rsidRPr="00246729">
        <w:rPr>
          <w:b w:val="0"/>
          <w:color w:val="000000" w:themeColor="text1"/>
          <w:sz w:val="22"/>
          <w:szCs w:val="22"/>
        </w:rPr>
        <w:t>Buckstones</w:t>
      </w:r>
      <w:proofErr w:type="spellEnd"/>
      <w:r w:rsidRPr="00246729">
        <w:rPr>
          <w:b w:val="0"/>
          <w:color w:val="000000" w:themeColor="text1"/>
          <w:sz w:val="22"/>
          <w:szCs w:val="22"/>
        </w:rPr>
        <w:t xml:space="preserve"> Primary School has published this statement to detail our school’s use of pupil premium and recovery premium funding to help improve the attainment of our disadvantaged pupils. The strategy is a </w:t>
      </w:r>
      <w:proofErr w:type="gramStart"/>
      <w:r w:rsidRPr="00246729">
        <w:rPr>
          <w:b w:val="0"/>
          <w:color w:val="000000" w:themeColor="text1"/>
          <w:sz w:val="22"/>
          <w:szCs w:val="22"/>
        </w:rPr>
        <w:t>long term</w:t>
      </w:r>
      <w:proofErr w:type="gramEnd"/>
      <w:r w:rsidRPr="00246729">
        <w:rPr>
          <w:b w:val="0"/>
          <w:color w:val="000000" w:themeColor="text1"/>
          <w:sz w:val="22"/>
          <w:szCs w:val="22"/>
        </w:rPr>
        <w:t xml:space="preserve"> </w:t>
      </w:r>
      <w:r w:rsidR="00853023">
        <w:rPr>
          <w:b w:val="0"/>
          <w:color w:val="000000" w:themeColor="text1"/>
          <w:sz w:val="22"/>
          <w:szCs w:val="22"/>
        </w:rPr>
        <w:t>strategy spanning 202</w:t>
      </w:r>
      <w:r w:rsidR="001D1273">
        <w:rPr>
          <w:b w:val="0"/>
          <w:color w:val="000000" w:themeColor="text1"/>
          <w:sz w:val="22"/>
          <w:szCs w:val="22"/>
        </w:rPr>
        <w:t>2</w:t>
      </w:r>
      <w:r w:rsidR="00853023">
        <w:rPr>
          <w:b w:val="0"/>
          <w:color w:val="000000" w:themeColor="text1"/>
          <w:sz w:val="22"/>
          <w:szCs w:val="22"/>
        </w:rPr>
        <w:t xml:space="preserve"> – 202</w:t>
      </w:r>
      <w:r w:rsidR="001D1273">
        <w:rPr>
          <w:b w:val="0"/>
          <w:color w:val="000000" w:themeColor="text1"/>
          <w:sz w:val="22"/>
          <w:szCs w:val="22"/>
        </w:rPr>
        <w:t>5</w:t>
      </w:r>
      <w:r w:rsidR="00853023">
        <w:rPr>
          <w:b w:val="0"/>
          <w:color w:val="000000" w:themeColor="text1"/>
          <w:sz w:val="22"/>
          <w:szCs w:val="22"/>
        </w:rPr>
        <w:t>.</w:t>
      </w:r>
    </w:p>
    <w:p w14:paraId="0762E9E0" w14:textId="6FBBC526" w:rsidR="009E1CC7" w:rsidRPr="00246729" w:rsidRDefault="009E1CC7" w:rsidP="009E1CC7">
      <w:pPr>
        <w:pStyle w:val="Heading2"/>
        <w:rPr>
          <w:b w:val="0"/>
          <w:color w:val="000000" w:themeColor="text1"/>
          <w:sz w:val="22"/>
          <w:szCs w:val="22"/>
        </w:rPr>
      </w:pPr>
      <w:r w:rsidRPr="00246729">
        <w:rPr>
          <w:b w:val="0"/>
          <w:color w:val="000000" w:themeColor="text1"/>
          <w:sz w:val="22"/>
          <w:szCs w:val="22"/>
        </w:rPr>
        <w:t xml:space="preserve">It outlines our pupil premium strategy, how we intend to spend the funding in this academic year and the effect that last year’s spending of pupil premium had within our school. </w:t>
      </w:r>
    </w:p>
    <w:tbl>
      <w:tblPr>
        <w:tblStyle w:val="TableGrid"/>
        <w:tblW w:w="0" w:type="auto"/>
        <w:tblLook w:val="04A0" w:firstRow="1" w:lastRow="0" w:firstColumn="1" w:lastColumn="0" w:noHBand="0" w:noVBand="1"/>
      </w:tblPr>
      <w:tblGrid>
        <w:gridCol w:w="9486"/>
      </w:tblGrid>
      <w:tr w:rsidR="009E1CC7" w:rsidRPr="009E1CC7" w14:paraId="3A8E95D6" w14:textId="77777777" w:rsidTr="00B76BCB">
        <w:tc>
          <w:tcPr>
            <w:tcW w:w="14174" w:type="dxa"/>
            <w:shd w:val="clear" w:color="auto" w:fill="C6D9F1" w:themeFill="text2" w:themeFillTint="33"/>
          </w:tcPr>
          <w:p w14:paraId="648AC403" w14:textId="77777777" w:rsidR="009E1CC7" w:rsidRPr="009E1CC7" w:rsidRDefault="009E1CC7" w:rsidP="009E1CC7">
            <w:pPr>
              <w:suppressAutoHyphens w:val="0"/>
              <w:spacing w:after="0" w:line="240" w:lineRule="auto"/>
              <w:rPr>
                <w:rFonts w:ascii="Arial" w:hAnsi="Arial" w:cs="Arial"/>
                <w:color w:val="auto"/>
                <w:sz w:val="22"/>
                <w:szCs w:val="22"/>
              </w:rPr>
            </w:pPr>
            <w:r w:rsidRPr="009E1CC7">
              <w:rPr>
                <w:rFonts w:ascii="Arial" w:hAnsi="Arial" w:cs="Arial"/>
                <w:color w:val="auto"/>
                <w:sz w:val="22"/>
                <w:szCs w:val="22"/>
              </w:rPr>
              <w:t>STRATEGY STATEMENT</w:t>
            </w:r>
          </w:p>
        </w:tc>
      </w:tr>
      <w:tr w:rsidR="009E1CC7" w:rsidRPr="009E1CC7" w14:paraId="7ACF9888" w14:textId="77777777" w:rsidTr="00B76BCB">
        <w:tc>
          <w:tcPr>
            <w:tcW w:w="14174" w:type="dxa"/>
          </w:tcPr>
          <w:p w14:paraId="0B16F80E" w14:textId="77777777" w:rsidR="009E1CC7" w:rsidRPr="009E1CC7" w:rsidRDefault="009E1CC7" w:rsidP="009E1CC7">
            <w:pPr>
              <w:suppressAutoHyphens w:val="0"/>
              <w:spacing w:after="0" w:line="240" w:lineRule="auto"/>
              <w:rPr>
                <w:rFonts w:ascii="Arial" w:hAnsi="Arial" w:cs="Arial"/>
                <w:color w:val="auto"/>
                <w:sz w:val="22"/>
                <w:szCs w:val="22"/>
              </w:rPr>
            </w:pPr>
            <w:r w:rsidRPr="009E1CC7">
              <w:rPr>
                <w:rFonts w:ascii="Arial" w:hAnsi="Arial" w:cs="Arial"/>
                <w:color w:val="auto"/>
                <w:sz w:val="22"/>
                <w:szCs w:val="22"/>
              </w:rPr>
              <w:t xml:space="preserve">At </w:t>
            </w:r>
            <w:proofErr w:type="spellStart"/>
            <w:r w:rsidRPr="009E1CC7">
              <w:rPr>
                <w:rFonts w:ascii="Arial" w:hAnsi="Arial" w:cs="Arial"/>
                <w:color w:val="auto"/>
                <w:sz w:val="22"/>
                <w:szCs w:val="22"/>
              </w:rPr>
              <w:t>Buckstones</w:t>
            </w:r>
            <w:proofErr w:type="spellEnd"/>
            <w:r w:rsidRPr="009E1CC7">
              <w:rPr>
                <w:rFonts w:ascii="Arial" w:hAnsi="Arial" w:cs="Arial"/>
                <w:color w:val="auto"/>
                <w:sz w:val="22"/>
                <w:szCs w:val="22"/>
              </w:rPr>
              <w:t xml:space="preserve"> we want all our children to flourish and in every opportunity to live fulfilled lives. We are committed to providing the highest quality education for all our children regardless of background or barrier to learning in all aspects of school life.</w:t>
            </w:r>
          </w:p>
          <w:p w14:paraId="0B36E53D" w14:textId="77777777" w:rsidR="009E1CC7" w:rsidRPr="00246729" w:rsidRDefault="009E1CC7" w:rsidP="009E1CC7">
            <w:pPr>
              <w:suppressAutoHyphens w:val="0"/>
              <w:spacing w:after="0" w:line="240" w:lineRule="auto"/>
              <w:rPr>
                <w:rFonts w:ascii="Arial" w:hAnsi="Arial" w:cs="Arial"/>
                <w:color w:val="auto"/>
                <w:sz w:val="22"/>
                <w:szCs w:val="22"/>
              </w:rPr>
            </w:pPr>
          </w:p>
          <w:p w14:paraId="300F56D3" w14:textId="1DB9BC43" w:rsidR="009E1CC7" w:rsidRPr="009E1CC7" w:rsidRDefault="009E1CC7" w:rsidP="009E1CC7">
            <w:pPr>
              <w:suppressAutoHyphens w:val="0"/>
              <w:spacing w:after="0" w:line="240" w:lineRule="auto"/>
              <w:rPr>
                <w:rFonts w:ascii="Arial" w:hAnsi="Arial" w:cs="Arial"/>
                <w:color w:val="auto"/>
                <w:sz w:val="22"/>
                <w:szCs w:val="22"/>
              </w:rPr>
            </w:pPr>
            <w:r w:rsidRPr="00246729">
              <w:rPr>
                <w:rFonts w:ascii="Arial" w:hAnsi="Arial" w:cs="Arial"/>
                <w:color w:val="auto"/>
                <w:sz w:val="22"/>
                <w:szCs w:val="22"/>
              </w:rPr>
              <w:t>EEF Research:</w:t>
            </w:r>
          </w:p>
          <w:p w14:paraId="12424E90" w14:textId="5C9BA99C" w:rsidR="009E1CC7" w:rsidRPr="00246729" w:rsidRDefault="009E1CC7" w:rsidP="009E1CC7">
            <w:pPr>
              <w:suppressAutoHyphens w:val="0"/>
              <w:spacing w:after="0" w:line="240" w:lineRule="auto"/>
              <w:rPr>
                <w:rFonts w:ascii="Arial" w:hAnsi="Arial" w:cs="Arial"/>
                <w:color w:val="auto"/>
                <w:sz w:val="22"/>
                <w:szCs w:val="22"/>
              </w:rPr>
            </w:pPr>
            <w:r w:rsidRPr="00246729">
              <w:rPr>
                <w:rFonts w:ascii="Arial" w:hAnsi="Arial" w:cs="Arial"/>
                <w:b/>
                <w:color w:val="auto"/>
                <w:sz w:val="22"/>
                <w:szCs w:val="22"/>
              </w:rPr>
              <w:t>Teaching</w:t>
            </w:r>
            <w:r w:rsidRPr="00246729">
              <w:rPr>
                <w:rFonts w:ascii="Arial" w:hAnsi="Arial" w:cs="Arial"/>
                <w:color w:val="auto"/>
                <w:sz w:val="22"/>
                <w:szCs w:val="22"/>
              </w:rPr>
              <w:t>: Spending on improving teaching might include professional development, training and support for early career teachers and recruitment and retention. Ensuring an effective teacher is in front of every class, and that every teacher is supported to keep improving, is the key ingredient of a successful school and should rightly be a top priority for Pupil Premium Spending.</w:t>
            </w:r>
          </w:p>
          <w:p w14:paraId="0FBBD2AA" w14:textId="77777777" w:rsidR="009E1CC7" w:rsidRPr="00246729" w:rsidRDefault="009E1CC7" w:rsidP="009E1CC7">
            <w:pPr>
              <w:suppressAutoHyphens w:val="0"/>
              <w:spacing w:after="0" w:line="240" w:lineRule="auto"/>
              <w:rPr>
                <w:rFonts w:ascii="Arial" w:hAnsi="Arial" w:cs="Arial"/>
                <w:color w:val="auto"/>
                <w:sz w:val="22"/>
                <w:szCs w:val="22"/>
              </w:rPr>
            </w:pPr>
          </w:p>
          <w:p w14:paraId="0F13DDD4" w14:textId="38E3DA10" w:rsidR="009E1CC7" w:rsidRPr="00246729" w:rsidRDefault="009E1CC7" w:rsidP="009E1CC7">
            <w:pPr>
              <w:suppressAutoHyphens w:val="0"/>
              <w:spacing w:after="0" w:line="240" w:lineRule="auto"/>
              <w:rPr>
                <w:rFonts w:ascii="Arial" w:hAnsi="Arial" w:cs="Arial"/>
                <w:color w:val="auto"/>
                <w:sz w:val="22"/>
                <w:szCs w:val="22"/>
              </w:rPr>
            </w:pPr>
            <w:r w:rsidRPr="00246729">
              <w:rPr>
                <w:rFonts w:ascii="Arial" w:hAnsi="Arial" w:cs="Arial"/>
                <w:b/>
                <w:color w:val="auto"/>
                <w:sz w:val="22"/>
                <w:szCs w:val="22"/>
              </w:rPr>
              <w:t>Targeted Academic Support</w:t>
            </w:r>
            <w:r w:rsidRPr="00246729">
              <w:rPr>
                <w:rFonts w:ascii="Arial" w:hAnsi="Arial" w:cs="Arial"/>
                <w:color w:val="auto"/>
                <w:sz w:val="22"/>
                <w:szCs w:val="22"/>
              </w:rPr>
              <w:t>: Evidence consistently shows the positive impact targeted support can have, including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w:t>
            </w:r>
          </w:p>
          <w:p w14:paraId="338D791C" w14:textId="77777777" w:rsidR="009E1CC7" w:rsidRPr="00246729" w:rsidRDefault="009E1CC7" w:rsidP="009E1CC7">
            <w:pPr>
              <w:suppressAutoHyphens w:val="0"/>
              <w:spacing w:after="0" w:line="240" w:lineRule="auto"/>
              <w:rPr>
                <w:rFonts w:ascii="Arial" w:hAnsi="Arial" w:cs="Arial"/>
                <w:color w:val="auto"/>
                <w:sz w:val="22"/>
                <w:szCs w:val="22"/>
              </w:rPr>
            </w:pPr>
          </w:p>
          <w:p w14:paraId="7CAC5897" w14:textId="21F371F7" w:rsidR="009E1CC7" w:rsidRPr="009E1CC7" w:rsidRDefault="009E1CC7" w:rsidP="009E1CC7">
            <w:pPr>
              <w:suppressAutoHyphens w:val="0"/>
              <w:spacing w:after="0" w:line="240" w:lineRule="auto"/>
              <w:rPr>
                <w:rFonts w:ascii="Arial" w:hAnsi="Arial" w:cs="Arial"/>
                <w:color w:val="auto"/>
                <w:sz w:val="22"/>
                <w:szCs w:val="22"/>
              </w:rPr>
            </w:pPr>
            <w:r w:rsidRPr="00246729">
              <w:rPr>
                <w:rFonts w:ascii="Arial" w:hAnsi="Arial" w:cs="Arial"/>
                <w:b/>
                <w:color w:val="auto"/>
                <w:sz w:val="22"/>
                <w:szCs w:val="22"/>
              </w:rPr>
              <w:t>Wider Strategies</w:t>
            </w:r>
            <w:r w:rsidRPr="00246729">
              <w:rPr>
                <w:rFonts w:ascii="Arial" w:hAnsi="Arial" w:cs="Arial"/>
                <w:color w:val="auto"/>
                <w:sz w:val="22"/>
                <w:szCs w:val="22"/>
              </w:rPr>
              <w:t>: Wider strategies relate to the most significant non-academic barriers to success in school, including attendance, behaviour and social and emotional support. While many barriers may be common between schools, it is also likely that the specific features of the community each school serves will affect spending in this category.</w:t>
            </w:r>
          </w:p>
        </w:tc>
      </w:tr>
    </w:tbl>
    <w:p w14:paraId="1D020FA0" w14:textId="77777777" w:rsidR="009E1CC7" w:rsidRPr="00246729" w:rsidRDefault="009E1CC7" w:rsidP="009E1CC7">
      <w:pPr>
        <w:rPr>
          <w:sz w:val="22"/>
          <w:szCs w:val="22"/>
        </w:rPr>
      </w:pPr>
    </w:p>
    <w:p w14:paraId="2A7D54B4" w14:textId="78B2DAC9" w:rsidR="00E66558" w:rsidRPr="00246729" w:rsidRDefault="009D71E8" w:rsidP="009E1CC7">
      <w:pPr>
        <w:pStyle w:val="Heading2"/>
        <w:rPr>
          <w:sz w:val="22"/>
          <w:szCs w:val="22"/>
        </w:rPr>
      </w:pPr>
      <w:r w:rsidRPr="00246729">
        <w:rPr>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24672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46729" w:rsidRDefault="009D71E8">
            <w:pPr>
              <w:pStyle w:val="TableHeader"/>
              <w:jc w:val="left"/>
              <w:rPr>
                <w:sz w:val="22"/>
                <w:szCs w:val="22"/>
              </w:rPr>
            </w:pPr>
            <w:r w:rsidRPr="00246729">
              <w:rPr>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46729" w:rsidRDefault="009D71E8">
            <w:pPr>
              <w:pStyle w:val="TableHeader"/>
              <w:jc w:val="left"/>
              <w:rPr>
                <w:sz w:val="22"/>
                <w:szCs w:val="22"/>
              </w:rPr>
            </w:pPr>
            <w:r w:rsidRPr="00246729">
              <w:rPr>
                <w:sz w:val="22"/>
                <w:szCs w:val="22"/>
              </w:rPr>
              <w:t>Data</w:t>
            </w:r>
          </w:p>
        </w:tc>
      </w:tr>
      <w:tr w:rsidR="00E66558" w:rsidRPr="0024672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46729" w:rsidRDefault="009D71E8">
            <w:pPr>
              <w:pStyle w:val="TableRow"/>
              <w:rPr>
                <w:sz w:val="22"/>
                <w:szCs w:val="22"/>
              </w:rPr>
            </w:pPr>
            <w:r w:rsidRPr="00246729">
              <w:rPr>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BB30185" w:rsidR="00E66558" w:rsidRPr="00246729" w:rsidRDefault="00421D4D">
            <w:pPr>
              <w:pStyle w:val="TableRow"/>
              <w:rPr>
                <w:sz w:val="22"/>
                <w:szCs w:val="22"/>
              </w:rPr>
            </w:pPr>
            <w:proofErr w:type="spellStart"/>
            <w:r w:rsidRPr="00246729">
              <w:rPr>
                <w:sz w:val="22"/>
                <w:szCs w:val="22"/>
              </w:rPr>
              <w:t>Buckstones</w:t>
            </w:r>
            <w:proofErr w:type="spellEnd"/>
            <w:r w:rsidRPr="00246729">
              <w:rPr>
                <w:sz w:val="22"/>
                <w:szCs w:val="22"/>
              </w:rPr>
              <w:t xml:space="preserve"> Community Primary School</w:t>
            </w:r>
          </w:p>
        </w:tc>
      </w:tr>
      <w:tr w:rsidR="00E66558" w:rsidRPr="0024672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246729" w:rsidRDefault="009D71E8">
            <w:pPr>
              <w:pStyle w:val="TableRow"/>
              <w:rPr>
                <w:sz w:val="22"/>
                <w:szCs w:val="22"/>
              </w:rPr>
            </w:pPr>
            <w:r w:rsidRPr="00246729">
              <w:rPr>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8AB0318" w:rsidR="00E66558" w:rsidRPr="00246729" w:rsidRDefault="00421D4D">
            <w:pPr>
              <w:pStyle w:val="TableRow"/>
              <w:rPr>
                <w:sz w:val="22"/>
                <w:szCs w:val="22"/>
              </w:rPr>
            </w:pPr>
            <w:r w:rsidRPr="00246729">
              <w:rPr>
                <w:sz w:val="22"/>
                <w:szCs w:val="22"/>
              </w:rPr>
              <w:t>20</w:t>
            </w:r>
            <w:r w:rsidR="001D1273">
              <w:rPr>
                <w:sz w:val="22"/>
                <w:szCs w:val="22"/>
              </w:rPr>
              <w:t>9</w:t>
            </w:r>
          </w:p>
        </w:tc>
      </w:tr>
      <w:tr w:rsidR="00E66558" w:rsidRPr="0024672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246729" w:rsidRDefault="009D71E8">
            <w:pPr>
              <w:pStyle w:val="TableRow"/>
              <w:rPr>
                <w:sz w:val="22"/>
                <w:szCs w:val="22"/>
              </w:rPr>
            </w:pPr>
            <w:r w:rsidRPr="00246729">
              <w:rPr>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084F4A2" w:rsidR="00E66558" w:rsidRPr="00246729" w:rsidRDefault="001D1273">
            <w:pPr>
              <w:pStyle w:val="TableRow"/>
              <w:rPr>
                <w:sz w:val="22"/>
                <w:szCs w:val="22"/>
              </w:rPr>
            </w:pPr>
            <w:r>
              <w:rPr>
                <w:sz w:val="22"/>
                <w:szCs w:val="22"/>
              </w:rPr>
              <w:t>8.1</w:t>
            </w:r>
            <w:r w:rsidR="00421D4D" w:rsidRPr="00246729">
              <w:rPr>
                <w:sz w:val="22"/>
                <w:szCs w:val="22"/>
              </w:rPr>
              <w:t>%</w:t>
            </w:r>
          </w:p>
        </w:tc>
      </w:tr>
      <w:tr w:rsidR="00E66558" w:rsidRPr="0024672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246729" w:rsidRDefault="009D71E8">
            <w:pPr>
              <w:pStyle w:val="TableRow"/>
              <w:rPr>
                <w:sz w:val="22"/>
                <w:szCs w:val="22"/>
              </w:rPr>
            </w:pPr>
            <w:r w:rsidRPr="00246729">
              <w:rPr>
                <w:sz w:val="22"/>
                <w:szCs w:val="22"/>
              </w:rPr>
              <w:t xml:space="preserve">Academic year/years that our current pupil premium strategy plan covers </w:t>
            </w:r>
            <w:r w:rsidRPr="00246729">
              <w:rPr>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4061" w14:textId="2AA12B51" w:rsidR="00E66558" w:rsidRDefault="00421D4D">
            <w:pPr>
              <w:pStyle w:val="TableRow"/>
              <w:rPr>
                <w:sz w:val="22"/>
                <w:szCs w:val="22"/>
              </w:rPr>
            </w:pPr>
            <w:r w:rsidRPr="00246729">
              <w:rPr>
                <w:sz w:val="22"/>
                <w:szCs w:val="22"/>
              </w:rPr>
              <w:t>202</w:t>
            </w:r>
            <w:r w:rsidR="001D1273">
              <w:rPr>
                <w:sz w:val="22"/>
                <w:szCs w:val="22"/>
              </w:rPr>
              <w:t>2</w:t>
            </w:r>
            <w:r w:rsidRPr="00246729">
              <w:rPr>
                <w:sz w:val="22"/>
                <w:szCs w:val="22"/>
              </w:rPr>
              <w:t>-202</w:t>
            </w:r>
            <w:r w:rsidR="001D1273">
              <w:rPr>
                <w:sz w:val="22"/>
                <w:szCs w:val="22"/>
              </w:rPr>
              <w:t>5</w:t>
            </w:r>
          </w:p>
          <w:p w14:paraId="2A7D54C2" w14:textId="753844A2" w:rsidR="00EB48CD" w:rsidRPr="00246729" w:rsidRDefault="00AB32DB">
            <w:pPr>
              <w:pStyle w:val="TableRow"/>
              <w:rPr>
                <w:sz w:val="22"/>
                <w:szCs w:val="22"/>
              </w:rPr>
            </w:pPr>
            <w:r>
              <w:rPr>
                <w:sz w:val="22"/>
                <w:szCs w:val="22"/>
              </w:rPr>
              <w:t xml:space="preserve">Year </w:t>
            </w:r>
            <w:r w:rsidR="00FB0465">
              <w:rPr>
                <w:sz w:val="22"/>
                <w:szCs w:val="22"/>
              </w:rPr>
              <w:t>3</w:t>
            </w:r>
            <w:r>
              <w:rPr>
                <w:sz w:val="22"/>
                <w:szCs w:val="22"/>
              </w:rPr>
              <w:t xml:space="preserve"> of the </w:t>
            </w:r>
            <w:proofErr w:type="gramStart"/>
            <w:r>
              <w:rPr>
                <w:sz w:val="22"/>
                <w:szCs w:val="22"/>
              </w:rPr>
              <w:t>3 year</w:t>
            </w:r>
            <w:proofErr w:type="gramEnd"/>
            <w:r>
              <w:rPr>
                <w:sz w:val="22"/>
                <w:szCs w:val="22"/>
              </w:rPr>
              <w:t xml:space="preserve"> programme – updated.</w:t>
            </w:r>
          </w:p>
        </w:tc>
      </w:tr>
      <w:tr w:rsidR="00E66558" w:rsidRPr="0024672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46729" w:rsidRDefault="009D71E8">
            <w:pPr>
              <w:pStyle w:val="TableRow"/>
              <w:rPr>
                <w:sz w:val="22"/>
                <w:szCs w:val="22"/>
              </w:rPr>
            </w:pPr>
            <w:r w:rsidRPr="00246729">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1777029" w:rsidR="00E66558" w:rsidRPr="00246729" w:rsidRDefault="000C630D">
            <w:pPr>
              <w:pStyle w:val="TableRow"/>
              <w:rPr>
                <w:sz w:val="22"/>
                <w:szCs w:val="22"/>
              </w:rPr>
            </w:pPr>
            <w:r>
              <w:rPr>
                <w:sz w:val="22"/>
                <w:szCs w:val="22"/>
              </w:rPr>
              <w:t>September</w:t>
            </w:r>
            <w:r w:rsidR="00421D4D" w:rsidRPr="00246729">
              <w:rPr>
                <w:sz w:val="22"/>
                <w:szCs w:val="22"/>
              </w:rPr>
              <w:t xml:space="preserve"> 202</w:t>
            </w:r>
            <w:r w:rsidR="001D1273">
              <w:rPr>
                <w:sz w:val="22"/>
                <w:szCs w:val="22"/>
              </w:rPr>
              <w:t>4</w:t>
            </w:r>
          </w:p>
        </w:tc>
      </w:tr>
      <w:tr w:rsidR="00E66558" w:rsidRPr="0024672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46729" w:rsidRDefault="009D71E8">
            <w:pPr>
              <w:pStyle w:val="TableRow"/>
              <w:rPr>
                <w:sz w:val="22"/>
                <w:szCs w:val="22"/>
              </w:rPr>
            </w:pPr>
            <w:r w:rsidRPr="00246729">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2F7550C" w:rsidR="00E66558" w:rsidRPr="00246729" w:rsidRDefault="00421D4D">
            <w:pPr>
              <w:pStyle w:val="TableRow"/>
              <w:rPr>
                <w:sz w:val="22"/>
                <w:szCs w:val="22"/>
              </w:rPr>
            </w:pPr>
            <w:r w:rsidRPr="00246729">
              <w:rPr>
                <w:sz w:val="22"/>
                <w:szCs w:val="22"/>
              </w:rPr>
              <w:t>July 202</w:t>
            </w:r>
            <w:r w:rsidR="001D1273">
              <w:rPr>
                <w:sz w:val="22"/>
                <w:szCs w:val="22"/>
              </w:rPr>
              <w:t>5</w:t>
            </w:r>
          </w:p>
        </w:tc>
      </w:tr>
      <w:tr w:rsidR="00E66558" w:rsidRPr="0024672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46729" w:rsidRDefault="009D71E8">
            <w:pPr>
              <w:pStyle w:val="TableRow"/>
              <w:rPr>
                <w:sz w:val="22"/>
                <w:szCs w:val="22"/>
              </w:rPr>
            </w:pPr>
            <w:r w:rsidRPr="00246729">
              <w:rPr>
                <w:sz w:val="22"/>
                <w:szCs w:val="22"/>
              </w:rPr>
              <w:lastRenderedPageBreak/>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62B742E" w:rsidR="00E66558" w:rsidRPr="00246729" w:rsidRDefault="00421D4D">
            <w:pPr>
              <w:pStyle w:val="TableRow"/>
              <w:rPr>
                <w:sz w:val="22"/>
                <w:szCs w:val="22"/>
              </w:rPr>
            </w:pPr>
            <w:r w:rsidRPr="00246729">
              <w:rPr>
                <w:sz w:val="22"/>
                <w:szCs w:val="22"/>
              </w:rPr>
              <w:t>Governing Body</w:t>
            </w:r>
            <w:r w:rsidR="00E411B5">
              <w:rPr>
                <w:sz w:val="22"/>
                <w:szCs w:val="22"/>
              </w:rPr>
              <w:t xml:space="preserve"> – 6.11.24</w:t>
            </w:r>
          </w:p>
        </w:tc>
      </w:tr>
      <w:tr w:rsidR="00E66558" w:rsidRPr="0024672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46729" w:rsidRDefault="009D71E8">
            <w:pPr>
              <w:pStyle w:val="TableRow"/>
              <w:rPr>
                <w:sz w:val="22"/>
                <w:szCs w:val="22"/>
              </w:rPr>
            </w:pPr>
            <w:r w:rsidRPr="00246729">
              <w:rPr>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F6A4BB1" w:rsidR="00E66558" w:rsidRPr="00246729" w:rsidRDefault="00421D4D">
            <w:pPr>
              <w:pStyle w:val="TableRow"/>
              <w:rPr>
                <w:sz w:val="22"/>
                <w:szCs w:val="22"/>
              </w:rPr>
            </w:pPr>
            <w:r w:rsidRPr="00246729">
              <w:rPr>
                <w:sz w:val="22"/>
                <w:szCs w:val="22"/>
              </w:rPr>
              <w:t>Sarah Healey</w:t>
            </w:r>
          </w:p>
        </w:tc>
      </w:tr>
      <w:tr w:rsidR="00E66558" w:rsidRPr="0024672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246729" w:rsidRDefault="009D71E8">
            <w:pPr>
              <w:pStyle w:val="TableRow"/>
              <w:rPr>
                <w:sz w:val="22"/>
                <w:szCs w:val="22"/>
              </w:rPr>
            </w:pPr>
            <w:r w:rsidRPr="00246729">
              <w:rPr>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D9A6CC5" w:rsidR="00E66558" w:rsidRPr="00246729" w:rsidRDefault="00421D4D">
            <w:pPr>
              <w:pStyle w:val="TableRow"/>
              <w:rPr>
                <w:sz w:val="22"/>
                <w:szCs w:val="22"/>
              </w:rPr>
            </w:pPr>
            <w:r w:rsidRPr="00246729">
              <w:rPr>
                <w:sz w:val="22"/>
                <w:szCs w:val="22"/>
              </w:rPr>
              <w:t>Steve Beckley</w:t>
            </w:r>
          </w:p>
        </w:tc>
      </w:tr>
    </w:tbl>
    <w:bookmarkEnd w:id="2"/>
    <w:bookmarkEnd w:id="3"/>
    <w:bookmarkEnd w:id="4"/>
    <w:p w14:paraId="2A7D54D3" w14:textId="77777777" w:rsidR="00E66558" w:rsidRPr="00246729" w:rsidRDefault="009D71E8">
      <w:pPr>
        <w:spacing w:before="480" w:line="240" w:lineRule="auto"/>
        <w:rPr>
          <w:b/>
          <w:color w:val="104F75"/>
          <w:sz w:val="22"/>
          <w:szCs w:val="22"/>
        </w:rPr>
      </w:pPr>
      <w:r w:rsidRPr="00246729">
        <w:rPr>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4672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46729" w:rsidRDefault="009D71E8">
            <w:pPr>
              <w:pStyle w:val="TableRow"/>
              <w:rPr>
                <w:sz w:val="22"/>
                <w:szCs w:val="22"/>
              </w:rPr>
            </w:pPr>
            <w:r w:rsidRPr="00246729">
              <w:rPr>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46729" w:rsidRDefault="009D71E8">
            <w:pPr>
              <w:pStyle w:val="TableRow"/>
              <w:rPr>
                <w:sz w:val="22"/>
                <w:szCs w:val="22"/>
              </w:rPr>
            </w:pPr>
            <w:r w:rsidRPr="00246729">
              <w:rPr>
                <w:b/>
                <w:sz w:val="22"/>
                <w:szCs w:val="22"/>
              </w:rPr>
              <w:t>Amount</w:t>
            </w:r>
          </w:p>
        </w:tc>
      </w:tr>
      <w:tr w:rsidR="00E66558" w:rsidRPr="0024672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46729" w:rsidRDefault="009D71E8">
            <w:pPr>
              <w:pStyle w:val="TableRow"/>
              <w:rPr>
                <w:sz w:val="22"/>
                <w:szCs w:val="22"/>
              </w:rPr>
            </w:pPr>
            <w:r w:rsidRPr="00246729">
              <w:rPr>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60EEFDB" w:rsidR="00E66558" w:rsidRPr="00246729" w:rsidRDefault="009D71E8">
            <w:pPr>
              <w:pStyle w:val="TableRow"/>
              <w:rPr>
                <w:sz w:val="22"/>
                <w:szCs w:val="22"/>
              </w:rPr>
            </w:pPr>
            <w:r w:rsidRPr="00246729">
              <w:rPr>
                <w:sz w:val="22"/>
                <w:szCs w:val="22"/>
              </w:rPr>
              <w:t>£</w:t>
            </w:r>
            <w:r w:rsidR="0023269B" w:rsidRPr="00246729">
              <w:rPr>
                <w:sz w:val="22"/>
                <w:szCs w:val="22"/>
              </w:rPr>
              <w:t>3</w:t>
            </w:r>
            <w:r w:rsidR="001D1273">
              <w:rPr>
                <w:sz w:val="22"/>
                <w:szCs w:val="22"/>
              </w:rPr>
              <w:t>8,400</w:t>
            </w:r>
          </w:p>
        </w:tc>
      </w:tr>
      <w:tr w:rsidR="00E66558" w:rsidRPr="0024672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61D0DDCD" w:rsidR="00E66558" w:rsidRPr="00246729" w:rsidRDefault="009D71E8" w:rsidP="00053342">
            <w:pPr>
              <w:pStyle w:val="TableRow"/>
              <w:rPr>
                <w:sz w:val="22"/>
                <w:szCs w:val="22"/>
              </w:rPr>
            </w:pPr>
            <w:r w:rsidRPr="00246729">
              <w:rPr>
                <w:sz w:val="22"/>
                <w:szCs w:val="22"/>
              </w:rPr>
              <w:t>Recovery premium fundi</w:t>
            </w:r>
            <w:r w:rsidR="00053342" w:rsidRPr="00246729">
              <w:rPr>
                <w:sz w:val="22"/>
                <w:szCs w:val="22"/>
              </w:rPr>
              <w:t>ng allocation this academic year</w:t>
            </w:r>
            <w:r w:rsidR="0023269B" w:rsidRPr="00246729">
              <w:rPr>
                <w:sz w:val="22"/>
                <w:szCs w:val="22"/>
              </w:rPr>
              <w:tab/>
            </w:r>
            <w:r w:rsidR="0023269B" w:rsidRPr="00246729">
              <w:rPr>
                <w:sz w:val="22"/>
                <w:szCs w:val="22"/>
              </w:rPr>
              <w:tab/>
            </w:r>
            <w:r w:rsidR="0023269B" w:rsidRPr="00246729">
              <w:rPr>
                <w:sz w:val="22"/>
                <w:szCs w:val="22"/>
              </w:rPr>
              <w:tab/>
            </w:r>
            <w:r w:rsidR="0023269B" w:rsidRPr="00246729">
              <w:rPr>
                <w:sz w:val="22"/>
                <w:szCs w:val="22"/>
              </w:rPr>
              <w:tab/>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C16EE5E" w:rsidR="00E66558" w:rsidRPr="00246729" w:rsidRDefault="009D71E8">
            <w:pPr>
              <w:pStyle w:val="TableRow"/>
              <w:rPr>
                <w:sz w:val="22"/>
                <w:szCs w:val="22"/>
              </w:rPr>
            </w:pPr>
            <w:r w:rsidRPr="00246729">
              <w:rPr>
                <w:sz w:val="22"/>
                <w:szCs w:val="22"/>
              </w:rPr>
              <w:t>£</w:t>
            </w:r>
            <w:r w:rsidR="001D1273">
              <w:rPr>
                <w:sz w:val="22"/>
                <w:szCs w:val="22"/>
              </w:rPr>
              <w:t>690</w:t>
            </w:r>
          </w:p>
        </w:tc>
      </w:tr>
      <w:tr w:rsidR="00E66558" w:rsidRPr="0024672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46729" w:rsidRDefault="009D71E8">
            <w:pPr>
              <w:pStyle w:val="TableRow"/>
              <w:rPr>
                <w:sz w:val="22"/>
                <w:szCs w:val="22"/>
              </w:rPr>
            </w:pPr>
            <w:r w:rsidRPr="00246729">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C7F120D" w:rsidR="00E66558" w:rsidRPr="00246729" w:rsidRDefault="009D71E8">
            <w:pPr>
              <w:pStyle w:val="TableRow"/>
              <w:rPr>
                <w:sz w:val="22"/>
                <w:szCs w:val="22"/>
              </w:rPr>
            </w:pPr>
            <w:r w:rsidRPr="00246729">
              <w:rPr>
                <w:sz w:val="22"/>
                <w:szCs w:val="22"/>
              </w:rPr>
              <w:t>£</w:t>
            </w:r>
            <w:r w:rsidR="0023269B" w:rsidRPr="00246729">
              <w:rPr>
                <w:sz w:val="22"/>
                <w:szCs w:val="22"/>
              </w:rPr>
              <w:t>0</w:t>
            </w:r>
          </w:p>
        </w:tc>
      </w:tr>
      <w:tr w:rsidR="00E66558" w:rsidRPr="0024672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46729" w:rsidRDefault="009D71E8">
            <w:pPr>
              <w:pStyle w:val="TableRow"/>
              <w:rPr>
                <w:b/>
                <w:sz w:val="22"/>
                <w:szCs w:val="22"/>
              </w:rPr>
            </w:pPr>
            <w:r w:rsidRPr="00246729">
              <w:rPr>
                <w:b/>
                <w:sz w:val="22"/>
                <w:szCs w:val="22"/>
              </w:rPr>
              <w:t>Total budget for this academic year</w:t>
            </w:r>
          </w:p>
          <w:p w14:paraId="2A7D54E1" w14:textId="77777777" w:rsidR="00E66558" w:rsidRPr="00246729" w:rsidRDefault="009D71E8">
            <w:pPr>
              <w:pStyle w:val="TableRow"/>
              <w:rPr>
                <w:sz w:val="22"/>
                <w:szCs w:val="22"/>
              </w:rPr>
            </w:pPr>
            <w:r w:rsidRPr="00246729">
              <w:rPr>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5FBA69A" w:rsidR="00E66558" w:rsidRPr="00246729" w:rsidRDefault="009D71E8">
            <w:pPr>
              <w:pStyle w:val="TableRow"/>
              <w:rPr>
                <w:sz w:val="22"/>
                <w:szCs w:val="22"/>
              </w:rPr>
            </w:pPr>
            <w:r w:rsidRPr="00246729">
              <w:rPr>
                <w:sz w:val="22"/>
                <w:szCs w:val="22"/>
              </w:rPr>
              <w:t>£</w:t>
            </w:r>
            <w:r w:rsidR="001D1273">
              <w:rPr>
                <w:sz w:val="22"/>
                <w:szCs w:val="22"/>
              </w:rPr>
              <w:t>39,090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B280D" w14:textId="3252FCA7" w:rsidR="00E66558" w:rsidRPr="0064515B" w:rsidRDefault="00053342" w:rsidP="00E9297D">
            <w:pPr>
              <w:jc w:val="both"/>
              <w:rPr>
                <w:iCs/>
                <w:sz w:val="22"/>
                <w:szCs w:val="22"/>
              </w:rPr>
            </w:pPr>
            <w:r w:rsidRPr="0064515B">
              <w:rPr>
                <w:iCs/>
                <w:sz w:val="22"/>
                <w:szCs w:val="22"/>
              </w:rPr>
              <w:t xml:space="preserve">At </w:t>
            </w:r>
            <w:proofErr w:type="spellStart"/>
            <w:r w:rsidRPr="0064515B">
              <w:rPr>
                <w:iCs/>
                <w:sz w:val="22"/>
                <w:szCs w:val="22"/>
              </w:rPr>
              <w:t>Buckstones</w:t>
            </w:r>
            <w:proofErr w:type="spellEnd"/>
            <w:r w:rsidRPr="0064515B">
              <w:rPr>
                <w:iCs/>
                <w:sz w:val="22"/>
                <w:szCs w:val="22"/>
              </w:rPr>
              <w:t xml:space="preserve"> Primary School it is our intention that all pupils, irrespective of their background or the challenges they face, make good progress and achieve high attainment across all subject areas.</w:t>
            </w:r>
          </w:p>
          <w:p w14:paraId="163DE6D2" w14:textId="77777777" w:rsidR="00053342" w:rsidRPr="0064515B" w:rsidRDefault="00053342" w:rsidP="00E9297D">
            <w:pPr>
              <w:jc w:val="both"/>
              <w:rPr>
                <w:iCs/>
                <w:sz w:val="22"/>
                <w:szCs w:val="22"/>
              </w:rPr>
            </w:pPr>
            <w:r w:rsidRPr="0064515B">
              <w:rPr>
                <w:iCs/>
                <w:sz w:val="22"/>
                <w:szCs w:val="22"/>
              </w:rPr>
              <w:t>We will consider the challenges faced by vulnerable pupils, such as those who have a social worker and young carers.</w:t>
            </w:r>
          </w:p>
          <w:p w14:paraId="55622C86" w14:textId="77777777" w:rsidR="00053342" w:rsidRPr="0064515B" w:rsidRDefault="00053342" w:rsidP="00E9297D">
            <w:pPr>
              <w:jc w:val="both"/>
              <w:rPr>
                <w:iCs/>
                <w:sz w:val="22"/>
                <w:szCs w:val="22"/>
              </w:rPr>
            </w:pPr>
            <w:r w:rsidRPr="0064515B">
              <w:rPr>
                <w:iCs/>
                <w:sz w:val="22"/>
                <w:szCs w:val="22"/>
              </w:rPr>
              <w:t>We recognise that not all pupils who receive free school meals are socially disadvantaged. We also recognise that not all pupils who are socially disadvantaged are registered or qualify for free school meals. We also recognise that pupils to whom the pupil premium applies are not all low attaining pupils.</w:t>
            </w:r>
          </w:p>
          <w:p w14:paraId="3CF3C1F2" w14:textId="5E8E2A18" w:rsidR="00E9297D" w:rsidRPr="0064515B" w:rsidRDefault="00E9297D" w:rsidP="00E9297D">
            <w:pPr>
              <w:jc w:val="both"/>
              <w:rPr>
                <w:iCs/>
                <w:sz w:val="22"/>
                <w:szCs w:val="22"/>
              </w:rPr>
            </w:pPr>
            <w:r w:rsidRPr="0064515B">
              <w:rPr>
                <w:iCs/>
                <w:sz w:val="22"/>
                <w:szCs w:val="22"/>
              </w:rPr>
              <w:t xml:space="preserve">Quality First Teaching is integral to our approach and we will focus on the areas in which disadvantaged </w:t>
            </w:r>
            <w:r w:rsidR="00246729">
              <w:rPr>
                <w:iCs/>
                <w:sz w:val="22"/>
                <w:szCs w:val="22"/>
              </w:rPr>
              <w:t>p</w:t>
            </w:r>
            <w:r w:rsidR="00863924">
              <w:rPr>
                <w:iCs/>
                <w:sz w:val="22"/>
                <w:szCs w:val="22"/>
              </w:rPr>
              <w:t>upils</w:t>
            </w:r>
            <w:r w:rsidRPr="0064515B">
              <w:rPr>
                <w:iCs/>
                <w:sz w:val="22"/>
                <w:szCs w:val="22"/>
              </w:rPr>
              <w:t xml:space="preserve"> need the most support. This approach is proven to have the greatest impact on closing the attainment gap between disadvantaged and non-disadvantaged pupils. It is our intent to sustain this approach.</w:t>
            </w:r>
          </w:p>
          <w:p w14:paraId="7C43C325" w14:textId="77777777" w:rsidR="00053342" w:rsidRPr="0064515B" w:rsidRDefault="00E9297D" w:rsidP="00E9297D">
            <w:pPr>
              <w:jc w:val="both"/>
              <w:rPr>
                <w:iCs/>
                <w:sz w:val="22"/>
                <w:szCs w:val="22"/>
              </w:rPr>
            </w:pPr>
            <w:r w:rsidRPr="0064515B">
              <w:rPr>
                <w:iCs/>
                <w:sz w:val="22"/>
                <w:szCs w:val="22"/>
              </w:rPr>
              <w:t>Our strategy is also integral to wider school plans for education recovery and support will be targeted to pupils whose education has been worst affected, including non-disadvantaged pupils.</w:t>
            </w:r>
          </w:p>
          <w:p w14:paraId="3097757A" w14:textId="6C9401FE" w:rsidR="00E9297D" w:rsidRPr="0064515B" w:rsidRDefault="00E9297D" w:rsidP="00E9297D">
            <w:pPr>
              <w:jc w:val="both"/>
              <w:rPr>
                <w:sz w:val="22"/>
                <w:szCs w:val="22"/>
              </w:rPr>
            </w:pPr>
            <w:r w:rsidRPr="0064515B">
              <w:rPr>
                <w:sz w:val="22"/>
                <w:szCs w:val="22"/>
              </w:rPr>
              <w:t xml:space="preserve">We adopt an approach which is responsive to common challenges and individual needs. This is rooted in robust assessment and our approaches aim to ensure that all </w:t>
            </w:r>
            <w:r w:rsidR="00246729">
              <w:rPr>
                <w:sz w:val="22"/>
                <w:szCs w:val="22"/>
              </w:rPr>
              <w:t>p</w:t>
            </w:r>
            <w:r w:rsidR="00863924">
              <w:rPr>
                <w:sz w:val="22"/>
                <w:szCs w:val="22"/>
              </w:rPr>
              <w:t>upils</w:t>
            </w:r>
            <w:r w:rsidRPr="0064515B">
              <w:rPr>
                <w:sz w:val="22"/>
                <w:szCs w:val="22"/>
              </w:rPr>
              <w:t xml:space="preserve"> can excel.</w:t>
            </w:r>
          </w:p>
          <w:p w14:paraId="1869A3B6" w14:textId="77777777" w:rsidR="00E9297D" w:rsidRPr="0064515B" w:rsidRDefault="00E9297D" w:rsidP="00E9297D">
            <w:pPr>
              <w:pStyle w:val="ListParagraph"/>
              <w:numPr>
                <w:ilvl w:val="0"/>
                <w:numId w:val="14"/>
              </w:numPr>
              <w:jc w:val="both"/>
              <w:rPr>
                <w:sz w:val="22"/>
                <w:szCs w:val="22"/>
              </w:rPr>
            </w:pPr>
            <w:r w:rsidRPr="0064515B">
              <w:rPr>
                <w:sz w:val="22"/>
                <w:szCs w:val="22"/>
              </w:rPr>
              <w:t>We ensure that teaching and learning opportunities meet the needs of all pupils.</w:t>
            </w:r>
          </w:p>
          <w:p w14:paraId="5609090E" w14:textId="37CBF3CB" w:rsidR="00E9297D" w:rsidRPr="0064515B" w:rsidRDefault="00E9297D" w:rsidP="00E9297D">
            <w:pPr>
              <w:pStyle w:val="ListParagraph"/>
              <w:numPr>
                <w:ilvl w:val="0"/>
                <w:numId w:val="14"/>
              </w:numPr>
              <w:jc w:val="both"/>
              <w:rPr>
                <w:sz w:val="22"/>
                <w:szCs w:val="22"/>
              </w:rPr>
            </w:pPr>
            <w:r w:rsidRPr="0064515B">
              <w:rPr>
                <w:sz w:val="22"/>
                <w:szCs w:val="22"/>
              </w:rPr>
              <w:t>We ensure that appropriate provision is made for pupils w</w:t>
            </w:r>
            <w:r w:rsidR="00271AF9">
              <w:rPr>
                <w:sz w:val="22"/>
                <w:szCs w:val="22"/>
              </w:rPr>
              <w:t xml:space="preserve">ho belong to vulnerable groups, however due to the limited allocation not all pupils who are eligible for a free school meal will be in </w:t>
            </w:r>
            <w:r w:rsidR="000C630D">
              <w:rPr>
                <w:sz w:val="22"/>
                <w:szCs w:val="22"/>
              </w:rPr>
              <w:t>receipt</w:t>
            </w:r>
            <w:r w:rsidR="00271AF9">
              <w:rPr>
                <w:sz w:val="22"/>
                <w:szCs w:val="22"/>
              </w:rPr>
              <w:t xml:space="preserve"> of pupil premium interventions at 1 time.</w:t>
            </w:r>
          </w:p>
          <w:p w14:paraId="63169C58" w14:textId="77777777" w:rsidR="00E9297D" w:rsidRPr="0064515B" w:rsidRDefault="00E9297D" w:rsidP="00E9297D">
            <w:pPr>
              <w:pStyle w:val="ListParagraph"/>
              <w:numPr>
                <w:ilvl w:val="0"/>
                <w:numId w:val="14"/>
              </w:numPr>
              <w:jc w:val="both"/>
              <w:rPr>
                <w:iCs/>
                <w:sz w:val="22"/>
                <w:szCs w:val="22"/>
              </w:rPr>
            </w:pPr>
            <w:r w:rsidRPr="0064515B">
              <w:rPr>
                <w:sz w:val="22"/>
                <w:szCs w:val="22"/>
              </w:rPr>
              <w:t>We reserve the right to allocate Pupil Premium funding to support any pupil or groups of pupils the school has legitimately identified as being socially disadvantaged.</w:t>
            </w:r>
          </w:p>
          <w:p w14:paraId="732177B8" w14:textId="77777777" w:rsidR="00E9297D" w:rsidRPr="0064515B" w:rsidRDefault="00E9297D" w:rsidP="00E9297D">
            <w:pPr>
              <w:jc w:val="both"/>
              <w:rPr>
                <w:sz w:val="22"/>
                <w:szCs w:val="22"/>
              </w:rPr>
            </w:pPr>
            <w:r w:rsidRPr="0064515B">
              <w:rPr>
                <w:sz w:val="22"/>
                <w:szCs w:val="22"/>
              </w:rPr>
              <w:t xml:space="preserve">We will: </w:t>
            </w:r>
          </w:p>
          <w:p w14:paraId="46782E80" w14:textId="77777777" w:rsidR="00E9297D" w:rsidRPr="0064515B" w:rsidRDefault="00E9297D" w:rsidP="00E9297D">
            <w:pPr>
              <w:pStyle w:val="ListParagraph"/>
              <w:numPr>
                <w:ilvl w:val="0"/>
                <w:numId w:val="15"/>
              </w:numPr>
              <w:jc w:val="both"/>
              <w:rPr>
                <w:sz w:val="22"/>
                <w:szCs w:val="22"/>
              </w:rPr>
            </w:pPr>
            <w:r w:rsidRPr="0064515B">
              <w:rPr>
                <w:sz w:val="22"/>
                <w:szCs w:val="22"/>
              </w:rPr>
              <w:t xml:space="preserve">Provide small group work with an experienced teacher focussed on overcoming gaps in learning; </w:t>
            </w:r>
          </w:p>
          <w:p w14:paraId="2DEA4A61" w14:textId="26548000" w:rsidR="00E9297D" w:rsidRPr="0064515B" w:rsidRDefault="00E9297D" w:rsidP="00E9297D">
            <w:pPr>
              <w:pStyle w:val="ListParagraph"/>
              <w:numPr>
                <w:ilvl w:val="0"/>
                <w:numId w:val="15"/>
              </w:numPr>
              <w:jc w:val="both"/>
              <w:rPr>
                <w:sz w:val="22"/>
                <w:szCs w:val="22"/>
              </w:rPr>
            </w:pPr>
            <w:r w:rsidRPr="0064515B">
              <w:rPr>
                <w:sz w:val="22"/>
                <w:szCs w:val="22"/>
              </w:rPr>
              <w:t xml:space="preserve">Provide additional teaching and learning opportunities provided by trained Teaching Assistant. </w:t>
            </w:r>
          </w:p>
          <w:p w14:paraId="320D7EF5" w14:textId="77777777" w:rsidR="00E9297D" w:rsidRPr="00246729" w:rsidRDefault="00E9297D" w:rsidP="00246729">
            <w:pPr>
              <w:pStyle w:val="ListParagraph"/>
              <w:numPr>
                <w:ilvl w:val="0"/>
                <w:numId w:val="15"/>
              </w:numPr>
              <w:jc w:val="both"/>
              <w:rPr>
                <w:iCs/>
              </w:rPr>
            </w:pPr>
            <w:r w:rsidRPr="0064515B">
              <w:rPr>
                <w:sz w:val="22"/>
                <w:szCs w:val="22"/>
              </w:rPr>
              <w:t xml:space="preserve">All our work through Pupil Premium and Recovery Premium will be aimed at accelerating progress moving </w:t>
            </w:r>
            <w:r w:rsidR="00246729">
              <w:rPr>
                <w:sz w:val="22"/>
                <w:szCs w:val="22"/>
              </w:rPr>
              <w:t>p</w:t>
            </w:r>
            <w:r w:rsidR="00863924">
              <w:rPr>
                <w:sz w:val="22"/>
                <w:szCs w:val="22"/>
              </w:rPr>
              <w:t>upils</w:t>
            </w:r>
            <w:r w:rsidRPr="0064515B">
              <w:rPr>
                <w:sz w:val="22"/>
                <w:szCs w:val="22"/>
              </w:rPr>
              <w:t xml:space="preserve"> to at least age-related expectations.</w:t>
            </w:r>
          </w:p>
          <w:p w14:paraId="2A7D54E9" w14:textId="3091D89F" w:rsidR="00246729" w:rsidRPr="00E9297D" w:rsidRDefault="00271AF9" w:rsidP="00246729">
            <w:pPr>
              <w:pStyle w:val="ListParagraph"/>
              <w:numPr>
                <w:ilvl w:val="0"/>
                <w:numId w:val="15"/>
              </w:numPr>
              <w:jc w:val="both"/>
              <w:rPr>
                <w:iCs/>
              </w:rPr>
            </w:pPr>
            <w:r>
              <w:rPr>
                <w:sz w:val="22"/>
                <w:szCs w:val="22"/>
              </w:rPr>
              <w:t>Provide opportunities for disadvantaged pupils to access enrichment activities as</w:t>
            </w:r>
            <w:r w:rsidR="00853023">
              <w:rPr>
                <w:sz w:val="22"/>
                <w:szCs w:val="22"/>
              </w:rPr>
              <w:t xml:space="preserve"> their </w:t>
            </w:r>
            <w:r>
              <w:rPr>
                <w:sz w:val="22"/>
                <w:szCs w:val="22"/>
              </w:rPr>
              <w:t>peers do.</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69B4347" w:rsidR="00E66558" w:rsidRDefault="004A64BC">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F91DBB4" w:rsidR="00E66558" w:rsidRDefault="0064515B">
            <w:pPr>
              <w:pStyle w:val="TableRowCentered"/>
              <w:jc w:val="left"/>
              <w:rPr>
                <w:sz w:val="22"/>
                <w:szCs w:val="22"/>
              </w:rPr>
            </w:pPr>
            <w:r w:rsidRPr="0064515B">
              <w:rPr>
                <w:sz w:val="22"/>
                <w:szCs w:val="22"/>
              </w:rPr>
              <w:t>Throughout school, assessments showed the number of pupils at the expected standard for their age</w:t>
            </w:r>
            <w:r w:rsidR="00343015">
              <w:rPr>
                <w:sz w:val="22"/>
                <w:szCs w:val="22"/>
              </w:rPr>
              <w:t xml:space="preserve"> in writing</w:t>
            </w:r>
            <w:r w:rsidR="005216BB">
              <w:rPr>
                <w:sz w:val="22"/>
                <w:szCs w:val="22"/>
              </w:rPr>
              <w:t xml:space="preserve"> </w:t>
            </w:r>
            <w:r w:rsidR="00235406">
              <w:rPr>
                <w:sz w:val="22"/>
                <w:szCs w:val="22"/>
              </w:rPr>
              <w:t>compared to other core subjects is lower</w:t>
            </w:r>
            <w:r w:rsidRPr="0064515B">
              <w:rPr>
                <w:sz w:val="22"/>
                <w:szCs w:val="22"/>
              </w:rPr>
              <w:t xml:space="preserve">. </w:t>
            </w:r>
            <w:r w:rsidR="00796CC6">
              <w:rPr>
                <w:sz w:val="22"/>
                <w:szCs w:val="22"/>
              </w:rPr>
              <w:t>Through a</w:t>
            </w:r>
            <w:r w:rsidRPr="0064515B">
              <w:rPr>
                <w:sz w:val="22"/>
                <w:szCs w:val="22"/>
              </w:rPr>
              <w:t xml:space="preserve">nalysis of </w:t>
            </w:r>
            <w:proofErr w:type="gramStart"/>
            <w:r w:rsidRPr="0064515B">
              <w:rPr>
                <w:sz w:val="22"/>
                <w:szCs w:val="22"/>
              </w:rPr>
              <w:t>writing</w:t>
            </w:r>
            <w:proofErr w:type="gramEnd"/>
            <w:r w:rsidRPr="0064515B">
              <w:rPr>
                <w:sz w:val="22"/>
                <w:szCs w:val="22"/>
              </w:rPr>
              <w:t xml:space="preserve"> </w:t>
            </w:r>
            <w:r w:rsidR="00796CC6">
              <w:rPr>
                <w:sz w:val="22"/>
                <w:szCs w:val="22"/>
              </w:rPr>
              <w:t xml:space="preserve">it has been </w:t>
            </w:r>
            <w:r w:rsidRPr="0064515B">
              <w:rPr>
                <w:sz w:val="22"/>
                <w:szCs w:val="22"/>
              </w:rPr>
              <w:t xml:space="preserve">highlighted </w:t>
            </w:r>
            <w:r w:rsidR="00796CC6">
              <w:rPr>
                <w:sz w:val="22"/>
                <w:szCs w:val="22"/>
              </w:rPr>
              <w:t xml:space="preserve">that </w:t>
            </w:r>
            <w:r w:rsidRPr="0064515B">
              <w:rPr>
                <w:sz w:val="22"/>
                <w:szCs w:val="22"/>
              </w:rPr>
              <w:t xml:space="preserve">an understanding of punctuation, spelling and grammar rules </w:t>
            </w:r>
            <w:r w:rsidR="00796CC6">
              <w:rPr>
                <w:sz w:val="22"/>
                <w:szCs w:val="22"/>
              </w:rPr>
              <w:t>are not fully embedded</w:t>
            </w:r>
            <w:r w:rsidRPr="0064515B">
              <w:rPr>
                <w:sz w:val="22"/>
                <w:szCs w:val="22"/>
              </w:rPr>
              <w:t xml:space="preserve">, thus inhibiting the </w:t>
            </w:r>
            <w:r w:rsidR="00863924">
              <w:rPr>
                <w:sz w:val="22"/>
                <w:szCs w:val="22"/>
              </w:rPr>
              <w:t>pupils’</w:t>
            </w:r>
            <w:r w:rsidRPr="0064515B">
              <w:rPr>
                <w:sz w:val="22"/>
                <w:szCs w:val="22"/>
              </w:rPr>
              <w:t xml:space="preserve"> ability to write with ease and fluency. </w:t>
            </w:r>
            <w:r w:rsidR="004A64BC">
              <w:rPr>
                <w:sz w:val="22"/>
                <w:szCs w:val="22"/>
              </w:rPr>
              <w:t>As well as the need to continue to extend vocabulary.</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63F25B9" w:rsidR="00E66558" w:rsidRDefault="004A64BC">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0BECFF" w:rsidR="00E66558" w:rsidRDefault="005216BB">
            <w:pPr>
              <w:pStyle w:val="TableRowCentered"/>
              <w:jc w:val="left"/>
              <w:rPr>
                <w:sz w:val="22"/>
                <w:szCs w:val="22"/>
              </w:rPr>
            </w:pPr>
            <w:r>
              <w:rPr>
                <w:sz w:val="22"/>
                <w:szCs w:val="22"/>
              </w:rPr>
              <w:t xml:space="preserve">Throughout the school some </w:t>
            </w:r>
            <w:r w:rsidR="00BB57A5">
              <w:rPr>
                <w:sz w:val="22"/>
                <w:szCs w:val="22"/>
              </w:rPr>
              <w:t>p</w:t>
            </w:r>
            <w:r w:rsidR="00863924">
              <w:rPr>
                <w:sz w:val="22"/>
                <w:szCs w:val="22"/>
              </w:rPr>
              <w:t>upils</w:t>
            </w:r>
            <w:r w:rsidR="0064515B" w:rsidRPr="0064515B">
              <w:rPr>
                <w:sz w:val="22"/>
                <w:szCs w:val="22"/>
              </w:rPr>
              <w:t xml:space="preserve"> reasoning assessments </w:t>
            </w:r>
            <w:r w:rsidR="00796CC6">
              <w:rPr>
                <w:sz w:val="22"/>
                <w:szCs w:val="22"/>
              </w:rPr>
              <w:t>show less accurate</w:t>
            </w:r>
            <w:r w:rsidR="0064515B" w:rsidRPr="0064515B">
              <w:rPr>
                <w:sz w:val="22"/>
                <w:szCs w:val="22"/>
              </w:rPr>
              <w:t xml:space="preserve"> application of knowledge to problem solving.</w:t>
            </w:r>
            <w:r w:rsidR="00C12F0A">
              <w:rPr>
                <w:sz w:val="22"/>
                <w:szCs w:val="22"/>
              </w:rPr>
              <w:t xml:space="preserve"> This has been </w:t>
            </w:r>
            <w:r w:rsidR="00BB57A5">
              <w:rPr>
                <w:sz w:val="22"/>
                <w:szCs w:val="22"/>
              </w:rPr>
              <w:t>seen in the number of pupils who are working at Greater Depth throughout the school.</w:t>
            </w:r>
          </w:p>
        </w:tc>
      </w:tr>
      <w:tr w:rsidR="00C12F0A" w14:paraId="6AF4E07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CBC2" w14:textId="4E4C9FFF" w:rsidR="00C12F0A" w:rsidRDefault="004A64BC">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6C94A" w14:textId="30F336C7" w:rsidR="00C12F0A" w:rsidRPr="0064515B" w:rsidRDefault="00C12F0A">
            <w:pPr>
              <w:pStyle w:val="TableRowCentered"/>
              <w:jc w:val="left"/>
              <w:rPr>
                <w:sz w:val="22"/>
                <w:szCs w:val="22"/>
              </w:rPr>
            </w:pPr>
            <w:r>
              <w:rPr>
                <w:sz w:val="22"/>
                <w:szCs w:val="22"/>
              </w:rPr>
              <w:t>Assessments, observations indicate underdeveloped reading skills</w:t>
            </w:r>
            <w:r w:rsidR="00796CC6">
              <w:rPr>
                <w:sz w:val="22"/>
                <w:szCs w:val="22"/>
              </w:rPr>
              <w:t xml:space="preserve"> and home reading support</w:t>
            </w:r>
            <w:r>
              <w:rPr>
                <w:sz w:val="22"/>
                <w:szCs w:val="22"/>
              </w:rPr>
              <w:t xml:space="preserve">, this was particularly evident </w:t>
            </w:r>
            <w:r w:rsidR="00796CC6">
              <w:rPr>
                <w:sz w:val="22"/>
                <w:szCs w:val="22"/>
              </w:rPr>
              <w:t>though Keys Stage 1.</w:t>
            </w:r>
          </w:p>
        </w:tc>
      </w:tr>
      <w:tr w:rsidR="0064515B" w14:paraId="3552B5F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59AB" w14:textId="40FBD9F0" w:rsidR="0064515B" w:rsidRDefault="004A64BC">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B4F4" w14:textId="02B79EF0" w:rsidR="0064515B" w:rsidRPr="0064515B" w:rsidRDefault="0064515B" w:rsidP="0064515B">
            <w:pPr>
              <w:pStyle w:val="TableRowCentered"/>
              <w:jc w:val="both"/>
              <w:rPr>
                <w:iCs/>
                <w:sz w:val="22"/>
              </w:rPr>
            </w:pPr>
            <w:r w:rsidRPr="0064515B">
              <w:rPr>
                <w:iCs/>
                <w:sz w:val="22"/>
              </w:rPr>
              <w:t>It is important to stay vigilant</w:t>
            </w:r>
            <w:r>
              <w:rPr>
                <w:iCs/>
                <w:sz w:val="22"/>
              </w:rPr>
              <w:t xml:space="preserve"> and be prepared to support the </w:t>
            </w:r>
            <w:r w:rsidR="00863924">
              <w:rPr>
                <w:iCs/>
                <w:sz w:val="22"/>
              </w:rPr>
              <w:t>pupils</w:t>
            </w:r>
            <w:r w:rsidR="00863924" w:rsidRPr="0064515B">
              <w:rPr>
                <w:iCs/>
                <w:sz w:val="22"/>
              </w:rPr>
              <w:t>’</w:t>
            </w:r>
            <w:r w:rsidRPr="0064515B">
              <w:rPr>
                <w:iCs/>
                <w:sz w:val="22"/>
              </w:rPr>
              <w:t xml:space="preserve"> emotional and mental wellbeing.</w:t>
            </w:r>
          </w:p>
        </w:tc>
      </w:tr>
      <w:tr w:rsidR="00A7295D" w14:paraId="7E7FEDC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8DB9" w14:textId="14274A39" w:rsidR="00A7295D" w:rsidRDefault="004A64BC">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1AE12" w14:textId="2899E597" w:rsidR="00A7295D" w:rsidRPr="0064515B" w:rsidRDefault="00C12F0A" w:rsidP="0064515B">
            <w:pPr>
              <w:pStyle w:val="TableRowCentered"/>
              <w:jc w:val="both"/>
              <w:rPr>
                <w:iCs/>
                <w:sz w:val="22"/>
              </w:rPr>
            </w:pPr>
            <w:r>
              <w:rPr>
                <w:iCs/>
                <w:sz w:val="22"/>
              </w:rPr>
              <w:t xml:space="preserve">Whole school attendance has </w:t>
            </w:r>
            <w:r w:rsidR="00F96B72">
              <w:rPr>
                <w:iCs/>
                <w:sz w:val="22"/>
              </w:rPr>
              <w:t>maintained its improvement</w:t>
            </w:r>
            <w:r w:rsidR="00BB57A5">
              <w:rPr>
                <w:iCs/>
                <w:sz w:val="22"/>
              </w:rPr>
              <w:t xml:space="preserve"> in the year 202</w:t>
            </w:r>
            <w:r w:rsidR="00F96B72">
              <w:rPr>
                <w:iCs/>
                <w:sz w:val="22"/>
              </w:rPr>
              <w:t>3</w:t>
            </w:r>
            <w:r w:rsidR="00BB57A5">
              <w:rPr>
                <w:iCs/>
                <w:sz w:val="22"/>
              </w:rPr>
              <w:t>-202</w:t>
            </w:r>
            <w:r w:rsidR="00F96B72">
              <w:rPr>
                <w:iCs/>
                <w:sz w:val="22"/>
              </w:rPr>
              <w:t>4</w:t>
            </w:r>
            <w:r w:rsidR="00BB57A5">
              <w:rPr>
                <w:iCs/>
                <w:sz w:val="22"/>
              </w:rPr>
              <w:t>, however</w:t>
            </w:r>
            <w:r w:rsidR="00F96B72">
              <w:rPr>
                <w:iCs/>
                <w:sz w:val="22"/>
              </w:rPr>
              <w:t xml:space="preserve"> the attendance of pupil premium pupils is below non pupil premium pupils</w:t>
            </w:r>
            <w:r w:rsidR="00BB57A5">
              <w:rPr>
                <w:iCs/>
                <w:sz w:val="22"/>
              </w:rPr>
              <w:t xml:space="preserve">. </w:t>
            </w:r>
            <w:r>
              <w:rPr>
                <w:iCs/>
                <w:sz w:val="22"/>
              </w:rPr>
              <w:t>The attendance policy has been updated and attendance is closely monitored by the School Administrator.</w:t>
            </w:r>
          </w:p>
        </w:tc>
      </w:tr>
      <w:tr w:rsidR="00796CC6" w14:paraId="20D94C5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4C9C" w14:textId="22F642B2" w:rsidR="00796CC6" w:rsidRDefault="004A64BC">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7FE73" w14:textId="02F8F510" w:rsidR="00796CC6" w:rsidRDefault="00796CC6" w:rsidP="0064515B">
            <w:pPr>
              <w:pStyle w:val="TableRowCentered"/>
              <w:jc w:val="both"/>
              <w:rPr>
                <w:iCs/>
                <w:sz w:val="22"/>
              </w:rPr>
            </w:pPr>
            <w:r w:rsidRPr="00796CC6">
              <w:rPr>
                <w:iCs/>
                <w:sz w:val="22"/>
              </w:rPr>
              <w:t>Limited life experiences and opportunities to engage in activities outside school for some disadvantaged pupils due to financial reasons or accessibility.</w:t>
            </w:r>
          </w:p>
        </w:tc>
      </w:tr>
    </w:tbl>
    <w:p w14:paraId="4B200191" w14:textId="779F36A3" w:rsidR="00A7295D" w:rsidRDefault="00A7295D">
      <w:pPr>
        <w:pStyle w:val="Heading2"/>
        <w:spacing w:before="600"/>
      </w:pPr>
    </w:p>
    <w:p w14:paraId="32000280" w14:textId="51B490F2" w:rsidR="003219B9" w:rsidRDefault="003219B9" w:rsidP="003219B9"/>
    <w:p w14:paraId="17296969" w14:textId="7C9C6145" w:rsidR="002E48A9" w:rsidRDefault="002E48A9" w:rsidP="003219B9"/>
    <w:p w14:paraId="164C9A44" w14:textId="0DAAB580" w:rsidR="00BB57A5" w:rsidRDefault="00BB57A5" w:rsidP="003219B9"/>
    <w:p w14:paraId="6901B542" w14:textId="019382F1" w:rsidR="005216BB" w:rsidRDefault="005216BB" w:rsidP="003219B9"/>
    <w:p w14:paraId="1313027D" w14:textId="77777777" w:rsidR="005216BB" w:rsidRDefault="005216BB" w:rsidP="003219B9"/>
    <w:p w14:paraId="274DE695" w14:textId="77777777" w:rsidR="00F96B72" w:rsidRDefault="00F96B72" w:rsidP="003219B9"/>
    <w:p w14:paraId="268842D2" w14:textId="77777777" w:rsidR="00F96B72" w:rsidRPr="003219B9" w:rsidRDefault="00F96B72" w:rsidP="003219B9"/>
    <w:p w14:paraId="2A7D54FF" w14:textId="59591FA6"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799"/>
        <w:gridCol w:w="4687"/>
      </w:tblGrid>
      <w:tr w:rsidR="00E66558" w14:paraId="2A7D5503" w14:textId="77777777" w:rsidTr="004A64BC">
        <w:tc>
          <w:tcPr>
            <w:tcW w:w="4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343015" w14:paraId="2A7D5509" w14:textId="77777777" w:rsidTr="004A64B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B497F17" w:rsidR="00343015" w:rsidRPr="00863924" w:rsidRDefault="00343015" w:rsidP="005A3200">
            <w:pPr>
              <w:pStyle w:val="TableRow"/>
              <w:rPr>
                <w:sz w:val="22"/>
                <w:szCs w:val="22"/>
              </w:rPr>
            </w:pPr>
            <w:r w:rsidRPr="00863924">
              <w:rPr>
                <w:sz w:val="22"/>
                <w:szCs w:val="22"/>
              </w:rPr>
              <w:t>Improved attainment among disadvantaged pupils.</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18ABB3D" w:rsidR="00343015" w:rsidRPr="00863924" w:rsidRDefault="00F96B72">
            <w:pPr>
              <w:pStyle w:val="TableRowCentered"/>
              <w:jc w:val="left"/>
              <w:rPr>
                <w:sz w:val="22"/>
                <w:szCs w:val="22"/>
              </w:rPr>
            </w:pPr>
            <w:r>
              <w:rPr>
                <w:sz w:val="22"/>
                <w:szCs w:val="22"/>
              </w:rPr>
              <w:t xml:space="preserve">By </w:t>
            </w:r>
            <w:r w:rsidRPr="00F96B72">
              <w:rPr>
                <w:sz w:val="22"/>
                <w:szCs w:val="22"/>
              </w:rPr>
              <w:t>2024- 2025, 2 Attainment in all core subjects show that disadvantaged pupils attain at least the expected standard in line with non-disadvantaged and above the national average.</w:t>
            </w:r>
          </w:p>
        </w:tc>
      </w:tr>
      <w:tr w:rsidR="00863924" w14:paraId="05E1C0A5" w14:textId="77777777" w:rsidTr="004A64B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9E53" w14:textId="2B4F7F3B" w:rsidR="00863924" w:rsidRPr="00863924" w:rsidRDefault="005A3200" w:rsidP="00863924">
            <w:pPr>
              <w:pStyle w:val="TableRow"/>
              <w:rPr>
                <w:sz w:val="22"/>
                <w:szCs w:val="22"/>
              </w:rPr>
            </w:pPr>
            <w:r>
              <w:rPr>
                <w:sz w:val="22"/>
                <w:szCs w:val="22"/>
              </w:rPr>
              <w:t>All pupils regardless of background to be given the same opportunities regardless of financial background.</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BBC0" w14:textId="2E0A0888" w:rsidR="00863924" w:rsidRPr="00863924" w:rsidRDefault="00863924" w:rsidP="005A3200">
            <w:pPr>
              <w:pStyle w:val="TableRowCentered"/>
              <w:jc w:val="left"/>
              <w:rPr>
                <w:sz w:val="22"/>
                <w:szCs w:val="22"/>
              </w:rPr>
            </w:pPr>
            <w:r>
              <w:rPr>
                <w:sz w:val="22"/>
                <w:szCs w:val="22"/>
              </w:rPr>
              <w:t>Disadvantaged pupils will have a taken part in curriculum experiences which enhance their learning experiences.</w:t>
            </w:r>
          </w:p>
        </w:tc>
      </w:tr>
      <w:tr w:rsidR="00863924" w14:paraId="26FD47AC" w14:textId="77777777" w:rsidTr="004A64B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7ADE3" w14:textId="1B86BB26" w:rsidR="00863924" w:rsidRPr="00863924" w:rsidRDefault="00863924" w:rsidP="00863924">
            <w:pPr>
              <w:pStyle w:val="TableRow"/>
              <w:rPr>
                <w:sz w:val="22"/>
                <w:szCs w:val="22"/>
              </w:rPr>
            </w:pPr>
            <w:r w:rsidRPr="00863924">
              <w:rPr>
                <w:sz w:val="22"/>
                <w:szCs w:val="22"/>
              </w:rPr>
              <w:t xml:space="preserve">To achieve and sustain improved wellbeing for all </w:t>
            </w:r>
            <w:r>
              <w:rPr>
                <w:sz w:val="22"/>
                <w:szCs w:val="22"/>
              </w:rPr>
              <w:t>Pupils</w:t>
            </w:r>
            <w:r w:rsidRPr="00863924">
              <w:rPr>
                <w:sz w:val="22"/>
                <w:szCs w:val="22"/>
              </w:rPr>
              <w:t xml:space="preserve"> in school, particularly our disadvantaged pupils. </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D1987" w14:textId="40956EAE" w:rsidR="00863924" w:rsidRPr="00863924" w:rsidRDefault="00863924">
            <w:pPr>
              <w:pStyle w:val="TableRowCentered"/>
              <w:jc w:val="left"/>
              <w:rPr>
                <w:sz w:val="22"/>
                <w:szCs w:val="22"/>
              </w:rPr>
            </w:pPr>
            <w:r w:rsidRPr="00863924">
              <w:rPr>
                <w:sz w:val="22"/>
                <w:szCs w:val="22"/>
              </w:rPr>
              <w:t>Sustained lev</w:t>
            </w:r>
            <w:r w:rsidR="00C12F0A">
              <w:rPr>
                <w:sz w:val="22"/>
                <w:szCs w:val="22"/>
              </w:rPr>
              <w:t>el</w:t>
            </w:r>
            <w:r w:rsidRPr="00863924">
              <w:rPr>
                <w:sz w:val="22"/>
                <w:szCs w:val="22"/>
              </w:rPr>
              <w:t xml:space="preserve"> of wellbeing demonstrated by: </w:t>
            </w:r>
          </w:p>
          <w:p w14:paraId="6819EAB3" w14:textId="77777777" w:rsidR="00863924" w:rsidRPr="00863924" w:rsidRDefault="00863924" w:rsidP="00863924">
            <w:pPr>
              <w:pStyle w:val="TableRowCentered"/>
              <w:numPr>
                <w:ilvl w:val="0"/>
                <w:numId w:val="16"/>
              </w:numPr>
              <w:jc w:val="left"/>
              <w:rPr>
                <w:sz w:val="22"/>
                <w:szCs w:val="22"/>
              </w:rPr>
            </w:pPr>
            <w:r w:rsidRPr="00863924">
              <w:rPr>
                <w:sz w:val="22"/>
                <w:szCs w:val="22"/>
              </w:rPr>
              <w:t xml:space="preserve">Qualitative data from pupil voice, parent surveys and teacher observations. </w:t>
            </w:r>
          </w:p>
          <w:p w14:paraId="4336C3AB" w14:textId="454DCCEA" w:rsidR="00863924" w:rsidRPr="00863924" w:rsidRDefault="00863924" w:rsidP="00863924">
            <w:pPr>
              <w:pStyle w:val="TableRowCentered"/>
              <w:numPr>
                <w:ilvl w:val="0"/>
                <w:numId w:val="16"/>
              </w:numPr>
              <w:jc w:val="left"/>
              <w:rPr>
                <w:sz w:val="22"/>
                <w:szCs w:val="22"/>
              </w:rPr>
            </w:pPr>
            <w:r w:rsidRPr="00863924">
              <w:rPr>
                <w:sz w:val="22"/>
                <w:szCs w:val="22"/>
              </w:rPr>
              <w:t xml:space="preserve">An increase is participation in enrichment activities, particularly among disadvantaged pupils. </w:t>
            </w:r>
          </w:p>
        </w:tc>
      </w:tr>
      <w:tr w:rsidR="00C12F0A" w14:paraId="469E5CB9" w14:textId="77777777" w:rsidTr="004A64BC">
        <w:tc>
          <w:tcPr>
            <w:tcW w:w="4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EB1C" w14:textId="233FABCC" w:rsidR="00C12F0A" w:rsidRPr="00863924" w:rsidRDefault="00C12F0A" w:rsidP="00863924">
            <w:pPr>
              <w:pStyle w:val="TableRow"/>
              <w:rPr>
                <w:sz w:val="22"/>
                <w:szCs w:val="22"/>
              </w:rPr>
            </w:pPr>
            <w:r>
              <w:rPr>
                <w:sz w:val="22"/>
                <w:szCs w:val="22"/>
              </w:rPr>
              <w:t xml:space="preserve">To improve Attendance </w:t>
            </w:r>
            <w:r w:rsidR="00F96B72">
              <w:rPr>
                <w:sz w:val="22"/>
                <w:szCs w:val="22"/>
              </w:rPr>
              <w:t>for Pupil premium pupils.</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5C8C" w14:textId="1E6D160C" w:rsidR="00C12F0A" w:rsidRPr="00863924" w:rsidRDefault="00C12F0A">
            <w:pPr>
              <w:pStyle w:val="TableRowCentered"/>
              <w:jc w:val="left"/>
              <w:rPr>
                <w:sz w:val="22"/>
                <w:szCs w:val="22"/>
              </w:rPr>
            </w:pPr>
            <w:r>
              <w:rPr>
                <w:sz w:val="22"/>
                <w:szCs w:val="22"/>
              </w:rPr>
              <w:t xml:space="preserve">Attendance will </w:t>
            </w:r>
            <w:r w:rsidR="00F96B72">
              <w:rPr>
                <w:sz w:val="22"/>
                <w:szCs w:val="22"/>
              </w:rPr>
              <w:t>match the National Attendance</w:t>
            </w:r>
            <w:r>
              <w:rPr>
                <w:sz w:val="22"/>
                <w:szCs w:val="22"/>
              </w:rPr>
              <w:t>.</w:t>
            </w:r>
          </w:p>
        </w:tc>
      </w:tr>
    </w:tbl>
    <w:p w14:paraId="60BAD9F6" w14:textId="77777777" w:rsidR="00120AB1" w:rsidRDefault="00120AB1">
      <w:pPr>
        <w:pStyle w:val="Heading2"/>
      </w:pPr>
    </w:p>
    <w:p w14:paraId="2A7D5512" w14:textId="19B34ED3" w:rsidR="00E66558" w:rsidRDefault="00120AB1" w:rsidP="005A3200">
      <w:pPr>
        <w:suppressAutoHyphens w:val="0"/>
        <w:spacing w:after="0" w:line="240" w:lineRule="auto"/>
        <w:rPr>
          <w:b/>
          <w:sz w:val="32"/>
          <w:szCs w:val="32"/>
        </w:rPr>
      </w:pPr>
      <w:r>
        <w:br w:type="page"/>
      </w:r>
      <w:r w:rsidR="009D71E8" w:rsidRPr="005A3200">
        <w:rPr>
          <w:b/>
          <w:color w:val="365F91" w:themeColor="accent1" w:themeShade="BF"/>
          <w:sz w:val="32"/>
          <w:szCs w:val="32"/>
        </w:rPr>
        <w:lastRenderedPageBreak/>
        <w:t>Activity in this academic year</w:t>
      </w:r>
    </w:p>
    <w:p w14:paraId="32DE0A7C" w14:textId="77777777" w:rsidR="005A3200" w:rsidRPr="005A3200" w:rsidRDefault="005A3200" w:rsidP="005A3200">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DF5FEF6" w:rsidR="00E66558" w:rsidRPr="00374376" w:rsidRDefault="009D71E8">
      <w:r>
        <w:t xml:space="preserve">Budgeted cost: £ </w:t>
      </w:r>
      <w:r w:rsidR="00654BEE">
        <w:t>3</w:t>
      </w:r>
      <w:r w:rsidR="00495212">
        <w:t>,</w:t>
      </w:r>
      <w:r w:rsidR="006C7416">
        <w:t>5</w:t>
      </w:r>
      <w:r w:rsidR="00495212">
        <w:t>00</w:t>
      </w:r>
    </w:p>
    <w:tbl>
      <w:tblPr>
        <w:tblW w:w="5000" w:type="pct"/>
        <w:tblLayout w:type="fixed"/>
        <w:tblCellMar>
          <w:left w:w="10" w:type="dxa"/>
          <w:right w:w="10" w:type="dxa"/>
        </w:tblCellMar>
        <w:tblLook w:val="04A0" w:firstRow="1" w:lastRow="0" w:firstColumn="1" w:lastColumn="0" w:noHBand="0" w:noVBand="1"/>
      </w:tblPr>
      <w:tblGrid>
        <w:gridCol w:w="2738"/>
        <w:gridCol w:w="5235"/>
        <w:gridCol w:w="1513"/>
      </w:tblGrid>
      <w:tr w:rsidR="00E66558" w14:paraId="2A7D5519" w14:textId="77777777" w:rsidTr="00374376">
        <w:tc>
          <w:tcPr>
            <w:tcW w:w="28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374376">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FB7E" w14:textId="0E3F4F5B" w:rsidR="00E66558" w:rsidRPr="00374376" w:rsidRDefault="00086689">
            <w:pPr>
              <w:pStyle w:val="TableRow"/>
              <w:rPr>
                <w:sz w:val="22"/>
                <w:szCs w:val="22"/>
              </w:rPr>
            </w:pPr>
            <w:r w:rsidRPr="00374376">
              <w:rPr>
                <w:sz w:val="22"/>
                <w:szCs w:val="22"/>
              </w:rPr>
              <w:t>P</w:t>
            </w:r>
            <w:r w:rsidR="00BB57A5">
              <w:rPr>
                <w:sz w:val="22"/>
                <w:szCs w:val="22"/>
              </w:rPr>
              <w:t xml:space="preserve">ayment for </w:t>
            </w:r>
            <w:r w:rsidR="007325A2">
              <w:rPr>
                <w:sz w:val="22"/>
                <w:szCs w:val="22"/>
              </w:rPr>
              <w:t>Abacus maths. as a whole school scheme to support the teaching of maths. This also provides clear assessments.</w:t>
            </w:r>
          </w:p>
          <w:p w14:paraId="0E9BB7F7" w14:textId="77777777" w:rsidR="00086689" w:rsidRPr="00374376" w:rsidRDefault="00086689">
            <w:pPr>
              <w:pStyle w:val="TableRow"/>
              <w:rPr>
                <w:sz w:val="22"/>
                <w:szCs w:val="22"/>
              </w:rPr>
            </w:pPr>
          </w:p>
          <w:p w14:paraId="34DA5CF0" w14:textId="238CB319" w:rsidR="00C57367" w:rsidRDefault="00C57367">
            <w:pPr>
              <w:pStyle w:val="TableRow"/>
              <w:rPr>
                <w:sz w:val="22"/>
                <w:szCs w:val="22"/>
              </w:rPr>
            </w:pPr>
            <w:r>
              <w:rPr>
                <w:sz w:val="22"/>
                <w:szCs w:val="22"/>
              </w:rPr>
              <w:t xml:space="preserve">Release time for the Maths. co-ordinator to monitor </w:t>
            </w:r>
            <w:r w:rsidR="001A6C77">
              <w:rPr>
                <w:sz w:val="22"/>
                <w:szCs w:val="22"/>
              </w:rPr>
              <w:t>the teaching of maths across the school.</w:t>
            </w:r>
          </w:p>
          <w:p w14:paraId="2A7D551A" w14:textId="5543D67E" w:rsidR="006136C5" w:rsidRPr="00374376" w:rsidRDefault="006136C5">
            <w:pPr>
              <w:pStyle w:val="TableRow"/>
              <w:rPr>
                <w:sz w:val="22"/>
                <w:szCs w:val="22"/>
              </w:rPr>
            </w:pPr>
            <w:r>
              <w:rPr>
                <w:sz w:val="22"/>
                <w:szCs w:val="22"/>
              </w:rPr>
              <w:t>£</w:t>
            </w:r>
            <w:r w:rsidR="006C7416">
              <w:rPr>
                <w:sz w:val="22"/>
                <w:szCs w:val="22"/>
              </w:rPr>
              <w:t>20</w:t>
            </w:r>
            <w:r>
              <w:rPr>
                <w:sz w:val="22"/>
                <w:szCs w:val="22"/>
              </w:rPr>
              <w:t>00</w:t>
            </w:r>
          </w:p>
        </w:tc>
        <w:tc>
          <w:tcPr>
            <w:tcW w:w="5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73E77" w14:textId="1EE6B695" w:rsidR="00115BB2" w:rsidRDefault="00115BB2" w:rsidP="000368EA">
            <w:pPr>
              <w:pStyle w:val="TableRowCentered"/>
              <w:jc w:val="left"/>
              <w:rPr>
                <w:sz w:val="22"/>
                <w:szCs w:val="22"/>
              </w:rPr>
            </w:pPr>
            <w:r>
              <w:rPr>
                <w:sz w:val="22"/>
                <w:szCs w:val="22"/>
              </w:rPr>
              <w:t xml:space="preserve">After careful consideration it was decided to purchase the Pearson Abacus maths scheme. </w:t>
            </w:r>
            <w:r w:rsidR="000368EA">
              <w:rPr>
                <w:sz w:val="22"/>
                <w:szCs w:val="22"/>
              </w:rPr>
              <w:t xml:space="preserve">As the research shows just following a text book does not increase attainment however using the scheme to support teaching and the CPD for staff can </w:t>
            </w:r>
            <w:r w:rsidR="000368EA" w:rsidRPr="000368EA">
              <w:rPr>
                <w:sz w:val="22"/>
                <w:szCs w:val="22"/>
              </w:rPr>
              <w:t>enable teachers to develop</w:t>
            </w:r>
            <w:r w:rsidR="000368EA">
              <w:rPr>
                <w:sz w:val="22"/>
                <w:szCs w:val="22"/>
              </w:rPr>
              <w:t xml:space="preserve"> pupil</w:t>
            </w:r>
            <w:r w:rsidR="000368EA" w:rsidRPr="000368EA">
              <w:rPr>
                <w:sz w:val="22"/>
                <w:szCs w:val="22"/>
              </w:rPr>
              <w:t>s’ understanding of, engagement in and motivation for mathematics</w:t>
            </w:r>
            <w:r w:rsidR="000368EA">
              <w:rPr>
                <w:sz w:val="22"/>
                <w:szCs w:val="22"/>
              </w:rPr>
              <w:t>.</w:t>
            </w:r>
          </w:p>
          <w:p w14:paraId="13F72AED" w14:textId="0C3693CD" w:rsidR="000368EA" w:rsidRDefault="000368EA" w:rsidP="000368EA">
            <w:pPr>
              <w:pStyle w:val="TableRowCentered"/>
              <w:jc w:val="left"/>
              <w:rPr>
                <w:sz w:val="22"/>
                <w:szCs w:val="22"/>
              </w:rPr>
            </w:pPr>
          </w:p>
          <w:p w14:paraId="24D0E0D0" w14:textId="4A51D0D3" w:rsidR="000368EA" w:rsidRDefault="000368EA" w:rsidP="000368EA">
            <w:pPr>
              <w:pStyle w:val="TableRowCentered"/>
              <w:jc w:val="left"/>
              <w:rPr>
                <w:sz w:val="22"/>
                <w:szCs w:val="22"/>
              </w:rPr>
            </w:pPr>
            <w:hyperlink r:id="rId9" w:history="1">
              <w:r w:rsidRPr="000368EA">
                <w:rPr>
                  <w:rStyle w:val="Hyperlink"/>
                  <w:sz w:val="22"/>
                  <w:szCs w:val="22"/>
                </w:rPr>
                <w:t>https://d2tic4wvo1iusb.cloudfront.net/documents/guidance/EEF_Maths_Evidence_Review.pdf?v=1629121262</w:t>
              </w:r>
            </w:hyperlink>
          </w:p>
          <w:p w14:paraId="6AF94BE1" w14:textId="77777777" w:rsidR="00115BB2" w:rsidRDefault="00115BB2">
            <w:pPr>
              <w:pStyle w:val="TableRowCentered"/>
              <w:jc w:val="left"/>
              <w:rPr>
                <w:sz w:val="22"/>
                <w:szCs w:val="22"/>
              </w:rPr>
            </w:pPr>
          </w:p>
          <w:p w14:paraId="419145FF" w14:textId="1B641EAB" w:rsidR="00E66558" w:rsidRPr="00374376" w:rsidRDefault="00086689">
            <w:pPr>
              <w:pStyle w:val="TableRowCentered"/>
              <w:jc w:val="left"/>
              <w:rPr>
                <w:sz w:val="22"/>
                <w:szCs w:val="22"/>
              </w:rPr>
            </w:pPr>
            <w:r w:rsidRPr="00374376">
              <w:rPr>
                <w:sz w:val="22"/>
                <w:szCs w:val="22"/>
              </w:rPr>
              <w:t xml:space="preserve">Standardised test can provide </w:t>
            </w:r>
            <w:r w:rsidR="00374376" w:rsidRPr="00374376">
              <w:rPr>
                <w:sz w:val="22"/>
                <w:szCs w:val="22"/>
              </w:rPr>
              <w:t>reliable</w:t>
            </w:r>
            <w:r w:rsidRPr="00374376">
              <w:rPr>
                <w:sz w:val="22"/>
                <w:szCs w:val="22"/>
              </w:rPr>
              <w:t xml:space="preserve"> insights into the specific strengths and weaknesses of each pupil to help ensure they receive the correct additional support through interventions or teacher instruction.</w:t>
            </w:r>
          </w:p>
          <w:p w14:paraId="7D372299" w14:textId="77777777" w:rsidR="00086689" w:rsidRPr="00374376" w:rsidRDefault="00086689">
            <w:pPr>
              <w:pStyle w:val="TableRowCentered"/>
              <w:jc w:val="left"/>
              <w:rPr>
                <w:sz w:val="22"/>
                <w:szCs w:val="22"/>
              </w:rPr>
            </w:pPr>
          </w:p>
          <w:p w14:paraId="0277F229" w14:textId="66EA2D46" w:rsidR="00086689" w:rsidRDefault="006B4EDB">
            <w:pPr>
              <w:pStyle w:val="TableRowCentered"/>
              <w:jc w:val="left"/>
              <w:rPr>
                <w:sz w:val="22"/>
                <w:szCs w:val="22"/>
              </w:rPr>
            </w:pPr>
            <w:hyperlink r:id="rId10" w:history="1">
              <w:r w:rsidRPr="0058393E">
                <w:rPr>
                  <w:rStyle w:val="Hyperlink"/>
                  <w:sz w:val="22"/>
                  <w:szCs w:val="22"/>
                </w:rPr>
                <w:t>https://educationendowmentfoundation.org.uk/tools/assessing-and-monitoring-pupil-progress/testing/standardised-tests</w:t>
              </w:r>
            </w:hyperlink>
          </w:p>
          <w:p w14:paraId="2A7D551B" w14:textId="2898C54D" w:rsidR="006B4EDB" w:rsidRPr="00374376" w:rsidRDefault="006B4EDB">
            <w:pPr>
              <w:pStyle w:val="TableRowCentered"/>
              <w:jc w:val="left"/>
              <w:rPr>
                <w:sz w:val="22"/>
                <w:szCs w:val="22"/>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67C6547" w:rsidR="00E66558" w:rsidRDefault="00374376">
            <w:pPr>
              <w:pStyle w:val="TableRowCentered"/>
              <w:jc w:val="left"/>
              <w:rPr>
                <w:sz w:val="22"/>
              </w:rPr>
            </w:pPr>
            <w:r>
              <w:rPr>
                <w:sz w:val="22"/>
              </w:rPr>
              <w:t>2,3,4</w:t>
            </w:r>
          </w:p>
        </w:tc>
      </w:tr>
      <w:tr w:rsidR="00E66558" w14:paraId="2A7D5521" w14:textId="77777777" w:rsidTr="00374376">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8427C" w14:textId="0AB97AB3" w:rsidR="007E755E" w:rsidRDefault="007E755E" w:rsidP="00BB57A5">
            <w:pPr>
              <w:pStyle w:val="TableRow"/>
              <w:rPr>
                <w:sz w:val="22"/>
                <w:szCs w:val="22"/>
              </w:rPr>
            </w:pPr>
            <w:r w:rsidRPr="007E755E">
              <w:rPr>
                <w:sz w:val="22"/>
                <w:szCs w:val="22"/>
              </w:rPr>
              <w:t xml:space="preserve">Phonics </w:t>
            </w:r>
            <w:proofErr w:type="gramStart"/>
            <w:r w:rsidRPr="007E755E">
              <w:rPr>
                <w:sz w:val="22"/>
                <w:szCs w:val="22"/>
              </w:rPr>
              <w:t>lead</w:t>
            </w:r>
            <w:proofErr w:type="gramEnd"/>
            <w:r w:rsidRPr="007E755E">
              <w:rPr>
                <w:sz w:val="22"/>
                <w:szCs w:val="22"/>
              </w:rPr>
              <w:t xml:space="preserve"> to monitor the</w:t>
            </w:r>
            <w:r w:rsidR="00BB57A5">
              <w:rPr>
                <w:sz w:val="22"/>
                <w:szCs w:val="22"/>
              </w:rPr>
              <w:t xml:space="preserve"> </w:t>
            </w:r>
            <w:r w:rsidRPr="007E755E">
              <w:rPr>
                <w:sz w:val="22"/>
                <w:szCs w:val="22"/>
              </w:rPr>
              <w:t>teaching of phonics and</w:t>
            </w:r>
            <w:r w:rsidR="00BB57A5">
              <w:rPr>
                <w:sz w:val="22"/>
                <w:szCs w:val="22"/>
              </w:rPr>
              <w:t xml:space="preserve"> </w:t>
            </w:r>
            <w:r w:rsidRPr="007E755E">
              <w:rPr>
                <w:sz w:val="22"/>
                <w:szCs w:val="22"/>
              </w:rPr>
              <w:t>assessment, providing support</w:t>
            </w:r>
            <w:r>
              <w:rPr>
                <w:sz w:val="22"/>
                <w:szCs w:val="22"/>
              </w:rPr>
              <w:t xml:space="preserve"> </w:t>
            </w:r>
            <w:r w:rsidRPr="007E755E">
              <w:rPr>
                <w:sz w:val="22"/>
                <w:szCs w:val="22"/>
              </w:rPr>
              <w:t>and guidance as appropriate.</w:t>
            </w:r>
          </w:p>
          <w:p w14:paraId="6F06B734" w14:textId="77777777" w:rsidR="00F96B72" w:rsidRDefault="00F96B72" w:rsidP="00BB57A5">
            <w:pPr>
              <w:pStyle w:val="TableRow"/>
              <w:rPr>
                <w:sz w:val="22"/>
                <w:szCs w:val="22"/>
              </w:rPr>
            </w:pPr>
          </w:p>
          <w:p w14:paraId="3094C1D0" w14:textId="77777777" w:rsidR="007E755E" w:rsidRDefault="007E755E" w:rsidP="007E755E">
            <w:pPr>
              <w:pStyle w:val="TableRow"/>
              <w:rPr>
                <w:sz w:val="22"/>
                <w:szCs w:val="22"/>
              </w:rPr>
            </w:pPr>
            <w:r w:rsidRPr="007E755E">
              <w:rPr>
                <w:sz w:val="22"/>
                <w:szCs w:val="22"/>
              </w:rPr>
              <w:t>Purchase high quality books</w:t>
            </w:r>
            <w:r>
              <w:rPr>
                <w:sz w:val="22"/>
                <w:szCs w:val="22"/>
              </w:rPr>
              <w:t>.</w:t>
            </w:r>
          </w:p>
          <w:p w14:paraId="2A7D551E" w14:textId="24C18EEC" w:rsidR="006136C5" w:rsidRPr="00374376" w:rsidRDefault="006136C5" w:rsidP="007E755E">
            <w:pPr>
              <w:pStyle w:val="TableRow"/>
              <w:rPr>
                <w:sz w:val="22"/>
                <w:szCs w:val="22"/>
              </w:rPr>
            </w:pPr>
            <w:r>
              <w:rPr>
                <w:sz w:val="22"/>
                <w:szCs w:val="22"/>
              </w:rPr>
              <w:t>£1500</w:t>
            </w:r>
          </w:p>
        </w:tc>
        <w:tc>
          <w:tcPr>
            <w:tcW w:w="5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11AB" w14:textId="77777777" w:rsidR="00E66558" w:rsidRDefault="00374376" w:rsidP="00374376">
            <w:pPr>
              <w:pStyle w:val="TableRowCentered"/>
              <w:jc w:val="left"/>
              <w:rPr>
                <w:sz w:val="22"/>
                <w:szCs w:val="22"/>
              </w:rPr>
            </w:pPr>
            <w:r w:rsidRPr="00374376">
              <w:rPr>
                <w:sz w:val="22"/>
                <w:szCs w:val="22"/>
              </w:rPr>
              <w:t>Phonics approaches have a strong evidence base that indicates a positive impact on the accuracy of word reading partic</w:t>
            </w:r>
            <w:r>
              <w:rPr>
                <w:sz w:val="22"/>
                <w:szCs w:val="22"/>
              </w:rPr>
              <w:t>ularly for disadvantaged pupils.</w:t>
            </w:r>
          </w:p>
          <w:p w14:paraId="149A0055" w14:textId="77777777" w:rsidR="00374376" w:rsidRDefault="00374376" w:rsidP="00374376">
            <w:pPr>
              <w:pStyle w:val="TableRowCentered"/>
              <w:jc w:val="left"/>
              <w:rPr>
                <w:sz w:val="22"/>
                <w:szCs w:val="22"/>
              </w:rPr>
            </w:pPr>
          </w:p>
          <w:p w14:paraId="39B523C9" w14:textId="207D5022" w:rsidR="00374376" w:rsidRDefault="006B4EDB" w:rsidP="00374376">
            <w:pPr>
              <w:pStyle w:val="TableRowCentered"/>
              <w:jc w:val="left"/>
              <w:rPr>
                <w:sz w:val="22"/>
                <w:szCs w:val="22"/>
              </w:rPr>
            </w:pPr>
            <w:hyperlink r:id="rId11" w:history="1">
              <w:r w:rsidRPr="0058393E">
                <w:rPr>
                  <w:rStyle w:val="Hyperlink"/>
                  <w:sz w:val="22"/>
                  <w:szCs w:val="22"/>
                </w:rPr>
                <w:t>https://educationendowmentfoundation.org.uk/education-evidence/teaching-learning-toolkit/phonics</w:t>
              </w:r>
            </w:hyperlink>
          </w:p>
          <w:p w14:paraId="2A7D551F" w14:textId="317AE4F5" w:rsidR="006B4EDB" w:rsidRPr="00374376" w:rsidRDefault="006B4EDB" w:rsidP="00374376">
            <w:pPr>
              <w:pStyle w:val="TableRowCentered"/>
              <w:jc w:val="left"/>
              <w:rPr>
                <w:sz w:val="22"/>
                <w:szCs w:val="22"/>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2AE62E5" w:rsidR="00E66558" w:rsidRDefault="00374376">
            <w:pPr>
              <w:pStyle w:val="TableRowCentered"/>
              <w:jc w:val="left"/>
              <w:rPr>
                <w:sz w:val="22"/>
              </w:rPr>
            </w:pPr>
            <w:r>
              <w:rPr>
                <w:sz w:val="22"/>
              </w:rPr>
              <w:t>4</w:t>
            </w:r>
          </w:p>
        </w:tc>
      </w:tr>
    </w:tbl>
    <w:p w14:paraId="2A7D5522" w14:textId="7235CA2C" w:rsidR="00E66558" w:rsidRDefault="00E66558">
      <w:pPr>
        <w:keepNext/>
        <w:spacing w:after="60"/>
        <w:outlineLvl w:val="1"/>
      </w:pPr>
    </w:p>
    <w:p w14:paraId="308FE54E" w14:textId="77777777" w:rsidR="00B34967" w:rsidRDefault="00B34967">
      <w:pPr>
        <w:rPr>
          <w:b/>
          <w:bCs/>
          <w:color w:val="104F75"/>
          <w:sz w:val="28"/>
          <w:szCs w:val="28"/>
        </w:rPr>
      </w:pPr>
    </w:p>
    <w:p w14:paraId="2A7D5523" w14:textId="343D5919"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356FC88" w:rsidR="00E66558" w:rsidRPr="006A5796" w:rsidRDefault="009D71E8">
      <w:r>
        <w:t xml:space="preserve">Budgeted cost: £ </w:t>
      </w:r>
      <w:r w:rsidR="006C7416">
        <w:t>29</w:t>
      </w:r>
      <w:r w:rsidR="006136C5">
        <w:t>,</w:t>
      </w:r>
      <w:r w:rsidR="006C7416">
        <w:t>0</w:t>
      </w:r>
      <w:r w:rsidR="006136C5">
        <w:t xml:space="preserve">00 </w:t>
      </w:r>
    </w:p>
    <w:tbl>
      <w:tblPr>
        <w:tblW w:w="5000" w:type="pct"/>
        <w:tblLayout w:type="fixed"/>
        <w:tblCellMar>
          <w:left w:w="10" w:type="dxa"/>
          <w:right w:w="10" w:type="dxa"/>
        </w:tblCellMar>
        <w:tblLook w:val="04A0" w:firstRow="1" w:lastRow="0" w:firstColumn="1" w:lastColumn="0" w:noHBand="0" w:noVBand="1"/>
      </w:tblPr>
      <w:tblGrid>
        <w:gridCol w:w="2738"/>
        <w:gridCol w:w="4971"/>
        <w:gridCol w:w="1777"/>
      </w:tblGrid>
      <w:tr w:rsidR="00E66558" w14:paraId="2A7D5528" w14:textId="77777777" w:rsidTr="000368EA">
        <w:tc>
          <w:tcPr>
            <w:tcW w:w="27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7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0368EA">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8ED13" w14:textId="60A6B344" w:rsidR="007B3808" w:rsidRDefault="007B3808" w:rsidP="007B3808">
            <w:pPr>
              <w:pStyle w:val="TableRow"/>
              <w:rPr>
                <w:sz w:val="22"/>
                <w:szCs w:val="22"/>
              </w:rPr>
            </w:pPr>
            <w:r w:rsidRPr="007B3808">
              <w:rPr>
                <w:sz w:val="22"/>
                <w:szCs w:val="22"/>
              </w:rPr>
              <w:t xml:space="preserve">Disadvantaged pupils will be prioritised for any ‘catch up’ or ‘keep up’ or ‘fluency’ reading and phonics sessions using the specific interventions, designed by </w:t>
            </w:r>
            <w:r w:rsidR="006C7416">
              <w:rPr>
                <w:sz w:val="22"/>
                <w:szCs w:val="22"/>
              </w:rPr>
              <w:t>Twinkl</w:t>
            </w:r>
            <w:r w:rsidRPr="007B3808">
              <w:rPr>
                <w:sz w:val="22"/>
                <w:szCs w:val="22"/>
              </w:rPr>
              <w:t>. This will include the top up for School Led Tutoring and Recovery</w:t>
            </w:r>
            <w:r>
              <w:rPr>
                <w:sz w:val="22"/>
                <w:szCs w:val="22"/>
              </w:rPr>
              <w:t xml:space="preserve"> </w:t>
            </w:r>
            <w:r w:rsidRPr="007B3808">
              <w:rPr>
                <w:sz w:val="22"/>
                <w:szCs w:val="22"/>
              </w:rPr>
              <w:t>Premium.</w:t>
            </w:r>
          </w:p>
          <w:p w14:paraId="2A7D5529" w14:textId="6150644B" w:rsidR="006136C5" w:rsidRPr="006A5796" w:rsidRDefault="007B3808" w:rsidP="007B3808">
            <w:pPr>
              <w:pStyle w:val="TableRow"/>
              <w:rPr>
                <w:sz w:val="22"/>
                <w:szCs w:val="22"/>
              </w:rPr>
            </w:pPr>
            <w:r>
              <w:rPr>
                <w:sz w:val="22"/>
                <w:szCs w:val="22"/>
              </w:rPr>
              <w:t>£1</w:t>
            </w:r>
            <w:r w:rsidR="006C7416">
              <w:rPr>
                <w:sz w:val="22"/>
                <w:szCs w:val="22"/>
              </w:rPr>
              <w:t>5</w:t>
            </w:r>
            <w:r w:rsidR="006136C5">
              <w:rPr>
                <w:sz w:val="22"/>
                <w:szCs w:val="22"/>
              </w:rPr>
              <w:t>000</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F7F9" w14:textId="77777777" w:rsidR="00E66558" w:rsidRDefault="006A5796" w:rsidP="006A5796">
            <w:pPr>
              <w:pStyle w:val="TableRowCentered"/>
              <w:jc w:val="left"/>
              <w:rPr>
                <w:sz w:val="22"/>
                <w:szCs w:val="22"/>
              </w:rPr>
            </w:pPr>
            <w:r w:rsidRPr="006A5796">
              <w:rPr>
                <w:sz w:val="22"/>
                <w:szCs w:val="22"/>
              </w:rPr>
              <w:t xml:space="preserve">Phonics approaches have a strong evidence base indicating a positive impact on pupils, particularly from disadvantaged backgrounds. </w:t>
            </w:r>
          </w:p>
          <w:p w14:paraId="79F70909" w14:textId="77777777" w:rsidR="006A5796" w:rsidRDefault="006A5796" w:rsidP="006A5796">
            <w:pPr>
              <w:pStyle w:val="TableRowCentered"/>
              <w:jc w:val="left"/>
              <w:rPr>
                <w:sz w:val="22"/>
                <w:szCs w:val="22"/>
              </w:rPr>
            </w:pPr>
          </w:p>
          <w:p w14:paraId="42EEB153" w14:textId="3FE11A27" w:rsidR="006A5796" w:rsidRDefault="006B4EDB" w:rsidP="006A5796">
            <w:pPr>
              <w:pStyle w:val="TableRowCentered"/>
              <w:jc w:val="left"/>
              <w:rPr>
                <w:sz w:val="22"/>
                <w:szCs w:val="22"/>
              </w:rPr>
            </w:pPr>
            <w:hyperlink r:id="rId12" w:history="1">
              <w:r w:rsidRPr="0058393E">
                <w:rPr>
                  <w:rStyle w:val="Hyperlink"/>
                  <w:sz w:val="22"/>
                  <w:szCs w:val="22"/>
                </w:rPr>
                <w:t>https://educationendowmentfoundation.org.uk/education-evidence/teaching-learning-toolkit/phonics</w:t>
              </w:r>
            </w:hyperlink>
          </w:p>
          <w:p w14:paraId="2A7D552A" w14:textId="3F6206F1" w:rsidR="006B4EDB" w:rsidRPr="006A5796" w:rsidRDefault="006B4EDB" w:rsidP="006A5796">
            <w:pPr>
              <w:pStyle w:val="TableRowCentered"/>
              <w:jc w:val="left"/>
              <w:rPr>
                <w:sz w:val="22"/>
                <w:szCs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0D4F388" w:rsidR="00E66558" w:rsidRDefault="006B4EDB">
            <w:pPr>
              <w:pStyle w:val="TableRowCentered"/>
              <w:jc w:val="left"/>
              <w:rPr>
                <w:sz w:val="22"/>
              </w:rPr>
            </w:pPr>
            <w:r>
              <w:rPr>
                <w:sz w:val="22"/>
              </w:rPr>
              <w:t>4</w:t>
            </w:r>
          </w:p>
        </w:tc>
      </w:tr>
      <w:tr w:rsidR="006B4EDB" w14:paraId="2A7D5530" w14:textId="77777777" w:rsidTr="000368EA">
        <w:tc>
          <w:tcPr>
            <w:tcW w:w="2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BDF9" w14:textId="41FBCED1" w:rsidR="00EC1FA3" w:rsidRPr="00EC1FA3" w:rsidRDefault="00EC1FA3" w:rsidP="00EC1FA3">
            <w:pPr>
              <w:pStyle w:val="TableRow"/>
              <w:rPr>
                <w:sz w:val="22"/>
                <w:szCs w:val="22"/>
              </w:rPr>
            </w:pPr>
            <w:r w:rsidRPr="00EC1FA3">
              <w:rPr>
                <w:sz w:val="22"/>
                <w:szCs w:val="22"/>
              </w:rPr>
              <w:t>Pupils who are falling behind in</w:t>
            </w:r>
            <w:r>
              <w:rPr>
                <w:sz w:val="22"/>
                <w:szCs w:val="22"/>
              </w:rPr>
              <w:t xml:space="preserve"> </w:t>
            </w:r>
            <w:r w:rsidRPr="00EC1FA3">
              <w:rPr>
                <w:sz w:val="22"/>
                <w:szCs w:val="22"/>
              </w:rPr>
              <w:t>are prioritised</w:t>
            </w:r>
          </w:p>
          <w:p w14:paraId="6F3EED72" w14:textId="77777777" w:rsidR="00EC1FA3" w:rsidRPr="00EC1FA3" w:rsidRDefault="00EC1FA3" w:rsidP="00EC1FA3">
            <w:pPr>
              <w:pStyle w:val="TableRow"/>
              <w:rPr>
                <w:sz w:val="22"/>
                <w:szCs w:val="22"/>
              </w:rPr>
            </w:pPr>
            <w:r w:rsidRPr="00EC1FA3">
              <w:rPr>
                <w:sz w:val="22"/>
                <w:szCs w:val="22"/>
              </w:rPr>
              <w:t>in additional small group</w:t>
            </w:r>
          </w:p>
          <w:p w14:paraId="0D6A88BE" w14:textId="7D2E3547" w:rsidR="00EC1FA3" w:rsidRDefault="00EC1FA3" w:rsidP="00EC1FA3">
            <w:pPr>
              <w:pStyle w:val="TableRow"/>
              <w:rPr>
                <w:sz w:val="22"/>
                <w:szCs w:val="22"/>
              </w:rPr>
            </w:pPr>
            <w:r w:rsidRPr="00EC1FA3">
              <w:rPr>
                <w:sz w:val="22"/>
                <w:szCs w:val="22"/>
              </w:rPr>
              <w:t>interventions</w:t>
            </w:r>
            <w:r>
              <w:rPr>
                <w:sz w:val="22"/>
                <w:szCs w:val="22"/>
              </w:rPr>
              <w:t xml:space="preserve"> and additional teacher and Teaching Assistant support.</w:t>
            </w:r>
          </w:p>
          <w:p w14:paraId="2A7D552D" w14:textId="0643A2B1" w:rsidR="006136C5" w:rsidRPr="00495212" w:rsidRDefault="00EC1FA3" w:rsidP="00EC1FA3">
            <w:pPr>
              <w:pStyle w:val="TableRow"/>
              <w:rPr>
                <w:sz w:val="22"/>
                <w:szCs w:val="22"/>
              </w:rPr>
            </w:pPr>
            <w:r>
              <w:rPr>
                <w:sz w:val="22"/>
                <w:szCs w:val="22"/>
              </w:rPr>
              <w:t>£</w:t>
            </w:r>
            <w:r w:rsidR="006136C5">
              <w:rPr>
                <w:sz w:val="22"/>
                <w:szCs w:val="22"/>
              </w:rPr>
              <w:t>1</w:t>
            </w:r>
            <w:r w:rsidR="006C7416">
              <w:rPr>
                <w:sz w:val="22"/>
                <w:szCs w:val="22"/>
              </w:rPr>
              <w:t>40</w:t>
            </w:r>
            <w:r w:rsidR="006136C5">
              <w:rPr>
                <w:sz w:val="22"/>
                <w:szCs w:val="22"/>
              </w:rPr>
              <w:t>00</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BB3E" w14:textId="77777777" w:rsidR="006B4EDB" w:rsidRPr="006B4EDB" w:rsidRDefault="006B4EDB" w:rsidP="006B4EDB">
            <w:pPr>
              <w:pStyle w:val="TableRowCentered"/>
              <w:jc w:val="left"/>
              <w:rPr>
                <w:sz w:val="22"/>
                <w:szCs w:val="22"/>
              </w:rPr>
            </w:pPr>
            <w:r w:rsidRPr="006B4EDB">
              <w:rPr>
                <w:sz w:val="22"/>
                <w:szCs w:val="22"/>
              </w:rPr>
              <w:t>Tuition targeted at specific needs and knowledge gaps can be an effective method to support low attaining pupils or those falling behind, both one-to-one:</w:t>
            </w:r>
          </w:p>
          <w:p w14:paraId="09EC1E02" w14:textId="77777777" w:rsidR="006B4EDB" w:rsidRPr="006B4EDB" w:rsidRDefault="006B4EDB" w:rsidP="006B4EDB">
            <w:pPr>
              <w:pStyle w:val="TableRowCentered"/>
              <w:jc w:val="left"/>
              <w:rPr>
                <w:sz w:val="22"/>
                <w:szCs w:val="22"/>
              </w:rPr>
            </w:pPr>
          </w:p>
          <w:p w14:paraId="090D51E0" w14:textId="54A41C68" w:rsidR="006B4EDB" w:rsidRDefault="006B4EDB" w:rsidP="006B4EDB">
            <w:pPr>
              <w:pStyle w:val="TableRowCentered"/>
              <w:jc w:val="left"/>
              <w:rPr>
                <w:sz w:val="22"/>
                <w:szCs w:val="22"/>
              </w:rPr>
            </w:pPr>
            <w:hyperlink r:id="rId13" w:history="1">
              <w:r w:rsidRPr="0058393E">
                <w:rPr>
                  <w:rStyle w:val="Hyperlink"/>
                  <w:sz w:val="22"/>
                  <w:szCs w:val="22"/>
                </w:rPr>
                <w:t>https://educationendowmentfoundation.org.uk/education-evidence/teaching-learning-toolkit/one-to-one-tuition</w:t>
              </w:r>
            </w:hyperlink>
          </w:p>
          <w:p w14:paraId="36E2ABA8" w14:textId="77777777" w:rsidR="006B4EDB" w:rsidRDefault="006B4EDB" w:rsidP="006B4EDB">
            <w:pPr>
              <w:pStyle w:val="TableRowCentered"/>
              <w:jc w:val="left"/>
              <w:rPr>
                <w:sz w:val="22"/>
                <w:szCs w:val="22"/>
              </w:rPr>
            </w:pPr>
          </w:p>
          <w:p w14:paraId="40E86862" w14:textId="77777777" w:rsidR="006B4EDB" w:rsidRDefault="006B4EDB" w:rsidP="006B4EDB">
            <w:pPr>
              <w:pStyle w:val="TableRowCentered"/>
              <w:jc w:val="left"/>
              <w:rPr>
                <w:sz w:val="22"/>
                <w:szCs w:val="22"/>
              </w:rPr>
            </w:pPr>
            <w:r w:rsidRPr="006B4EDB">
              <w:rPr>
                <w:sz w:val="22"/>
                <w:szCs w:val="22"/>
              </w:rPr>
              <w:t>And in small groups:</w:t>
            </w:r>
            <w:r w:rsidRPr="006B4EDB">
              <w:rPr>
                <w:sz w:val="22"/>
                <w:szCs w:val="22"/>
              </w:rPr>
              <w:cr/>
            </w:r>
          </w:p>
          <w:p w14:paraId="284A2D99" w14:textId="2BDC712E" w:rsidR="006B4EDB" w:rsidRDefault="006B4EDB" w:rsidP="006B4EDB">
            <w:pPr>
              <w:pStyle w:val="TableRowCentered"/>
              <w:jc w:val="left"/>
              <w:rPr>
                <w:sz w:val="22"/>
                <w:szCs w:val="22"/>
              </w:rPr>
            </w:pPr>
            <w:hyperlink r:id="rId14" w:history="1">
              <w:r w:rsidRPr="0058393E">
                <w:rPr>
                  <w:rStyle w:val="Hyperlink"/>
                  <w:sz w:val="22"/>
                  <w:szCs w:val="22"/>
                </w:rPr>
                <w:t>https://educationendowmentfoundation.org.uk/education-evidence/teaching-learning-toolkit/small-group-tuition</w:t>
              </w:r>
            </w:hyperlink>
          </w:p>
          <w:p w14:paraId="2A7D552E" w14:textId="24C15798" w:rsidR="006B4EDB" w:rsidRPr="006B4EDB" w:rsidRDefault="006B4EDB" w:rsidP="006B4EDB">
            <w:pPr>
              <w:pStyle w:val="TableRowCentered"/>
              <w:jc w:val="left"/>
              <w:rPr>
                <w:sz w:val="22"/>
                <w:szCs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23DE2F1" w:rsidR="006B4EDB" w:rsidRDefault="006B4EDB">
            <w:pPr>
              <w:pStyle w:val="TableRowCentered"/>
              <w:jc w:val="left"/>
              <w:rPr>
                <w:sz w:val="22"/>
              </w:rPr>
            </w:pPr>
            <w:r>
              <w:rPr>
                <w:sz w:val="22"/>
              </w:rPr>
              <w:t>1-4</w:t>
            </w:r>
          </w:p>
        </w:tc>
      </w:tr>
    </w:tbl>
    <w:p w14:paraId="2A7D5531" w14:textId="77777777" w:rsidR="00E66558" w:rsidRDefault="00E66558">
      <w:pPr>
        <w:spacing w:after="0"/>
        <w:rPr>
          <w:b/>
          <w:color w:val="104F75"/>
          <w:sz w:val="28"/>
          <w:szCs w:val="28"/>
        </w:rPr>
      </w:pPr>
    </w:p>
    <w:p w14:paraId="1C11136C" w14:textId="77777777" w:rsidR="00BB57A5" w:rsidRDefault="00BB57A5">
      <w:pPr>
        <w:rPr>
          <w:b/>
          <w:color w:val="104F75"/>
          <w:sz w:val="28"/>
          <w:szCs w:val="28"/>
        </w:rPr>
      </w:pPr>
    </w:p>
    <w:p w14:paraId="2A7D5532" w14:textId="572E08B6" w:rsidR="00E66558" w:rsidRDefault="009D71E8">
      <w:pPr>
        <w:rPr>
          <w:b/>
          <w:color w:val="104F75"/>
          <w:sz w:val="28"/>
          <w:szCs w:val="28"/>
        </w:rPr>
      </w:pPr>
      <w:r>
        <w:rPr>
          <w:b/>
          <w:color w:val="104F75"/>
          <w:sz w:val="28"/>
          <w:szCs w:val="28"/>
        </w:rPr>
        <w:t>Wider strategies (for example, related to attendance, behaviour, wellbeing)</w:t>
      </w:r>
    </w:p>
    <w:p w14:paraId="2A7D5533" w14:textId="778AC258" w:rsidR="00E66558" w:rsidRDefault="006B4EDB">
      <w:pPr>
        <w:spacing w:before="240" w:after="120"/>
      </w:pPr>
      <w:r>
        <w:t>Budgeted cost: £</w:t>
      </w:r>
      <w:r w:rsidR="00495212">
        <w:t xml:space="preserve"> </w:t>
      </w:r>
      <w:r w:rsidR="006136C5">
        <w:t>6,800</w:t>
      </w:r>
    </w:p>
    <w:tbl>
      <w:tblPr>
        <w:tblW w:w="5000" w:type="pct"/>
        <w:tblLayout w:type="fixed"/>
        <w:tblCellMar>
          <w:left w:w="10" w:type="dxa"/>
          <w:right w:w="10" w:type="dxa"/>
        </w:tblCellMar>
        <w:tblLook w:val="04A0" w:firstRow="1" w:lastRow="0" w:firstColumn="1" w:lastColumn="0" w:noHBand="0" w:noVBand="1"/>
      </w:tblPr>
      <w:tblGrid>
        <w:gridCol w:w="2737"/>
        <w:gridCol w:w="4914"/>
        <w:gridCol w:w="1835"/>
      </w:tblGrid>
      <w:tr w:rsidR="00E66558" w14:paraId="2A7D5537" w14:textId="77777777" w:rsidTr="000368EA">
        <w:tc>
          <w:tcPr>
            <w:tcW w:w="27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0368EA">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B572" w14:textId="77777777" w:rsidR="00E66558" w:rsidRDefault="006B4EDB" w:rsidP="006B4EDB">
            <w:pPr>
              <w:pStyle w:val="TableRow"/>
              <w:rPr>
                <w:sz w:val="22"/>
                <w:szCs w:val="22"/>
              </w:rPr>
            </w:pPr>
            <w:r w:rsidRPr="006B4EDB">
              <w:rPr>
                <w:sz w:val="22"/>
                <w:szCs w:val="22"/>
              </w:rPr>
              <w:t xml:space="preserve">To enhance cultural enrichment that is accessible as part of the </w:t>
            </w:r>
            <w:r w:rsidRPr="006B4EDB">
              <w:rPr>
                <w:sz w:val="22"/>
                <w:szCs w:val="22"/>
              </w:rPr>
              <w:lastRenderedPageBreak/>
              <w:t>curriculum for all children. Subsidising trips, residentials, clubs, music tuition etc.</w:t>
            </w:r>
          </w:p>
          <w:p w14:paraId="2A7D553C" w14:textId="372EDFD3" w:rsidR="006136C5" w:rsidRPr="006B4EDB" w:rsidRDefault="006136C5" w:rsidP="006B4EDB">
            <w:pPr>
              <w:pStyle w:val="TableRow"/>
              <w:rPr>
                <w:sz w:val="22"/>
                <w:szCs w:val="22"/>
              </w:rPr>
            </w:pPr>
            <w:r>
              <w:rPr>
                <w:sz w:val="22"/>
                <w:szCs w:val="22"/>
              </w:rPr>
              <w:t>£1500</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B59E" w14:textId="7F1057C4" w:rsidR="006B4EDB" w:rsidRDefault="006B4EDB">
            <w:pPr>
              <w:pStyle w:val="TableRowCentered"/>
              <w:jc w:val="left"/>
              <w:rPr>
                <w:sz w:val="22"/>
                <w:szCs w:val="22"/>
              </w:rPr>
            </w:pPr>
            <w:r w:rsidRPr="006B4EDB">
              <w:rPr>
                <w:sz w:val="22"/>
                <w:szCs w:val="22"/>
              </w:rPr>
              <w:lastRenderedPageBreak/>
              <w:t xml:space="preserve">The evidence in EEF Toolkit and literature review on non-cognitive skills suggest that character related approaches can be most </w:t>
            </w:r>
            <w:r w:rsidRPr="006B4EDB">
              <w:rPr>
                <w:sz w:val="22"/>
                <w:szCs w:val="22"/>
              </w:rPr>
              <w:lastRenderedPageBreak/>
              <w:t xml:space="preserve">effective for improving attainment when they are specifically linked to learning. </w:t>
            </w:r>
          </w:p>
          <w:p w14:paraId="1961CE10" w14:textId="77777777" w:rsidR="006B4EDB" w:rsidRPr="006B4EDB" w:rsidRDefault="006B4EDB">
            <w:pPr>
              <w:pStyle w:val="TableRowCentered"/>
              <w:jc w:val="left"/>
              <w:rPr>
                <w:sz w:val="22"/>
                <w:szCs w:val="22"/>
              </w:rPr>
            </w:pPr>
          </w:p>
          <w:p w14:paraId="2A7D553D" w14:textId="039826AC" w:rsidR="00E66558" w:rsidRDefault="006B4EDB">
            <w:pPr>
              <w:pStyle w:val="TableRowCentered"/>
              <w:jc w:val="left"/>
              <w:rPr>
                <w:sz w:val="22"/>
              </w:rPr>
            </w:pPr>
            <w:r w:rsidRPr="006B4EDB">
              <w:rPr>
                <w:color w:val="0070C0"/>
                <w:sz w:val="22"/>
                <w:szCs w:val="22"/>
              </w:rPr>
              <w:t>Life skills and enrichment EEF Toolkit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16D0E89" w:rsidR="00E66558" w:rsidRDefault="008F5447">
            <w:pPr>
              <w:pStyle w:val="TableRowCentered"/>
              <w:jc w:val="left"/>
              <w:rPr>
                <w:sz w:val="22"/>
              </w:rPr>
            </w:pPr>
            <w:r>
              <w:rPr>
                <w:sz w:val="22"/>
              </w:rPr>
              <w:lastRenderedPageBreak/>
              <w:t>5</w:t>
            </w:r>
          </w:p>
        </w:tc>
      </w:tr>
      <w:tr w:rsidR="008F5447" w14:paraId="333E44EC" w14:textId="77777777" w:rsidTr="000368EA">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2B8F" w14:textId="77777777" w:rsidR="008F5447" w:rsidRDefault="008F5447" w:rsidP="008F5447">
            <w:pPr>
              <w:pStyle w:val="TableRow"/>
              <w:rPr>
                <w:sz w:val="22"/>
                <w:szCs w:val="22"/>
              </w:rPr>
            </w:pPr>
            <w:r>
              <w:rPr>
                <w:sz w:val="22"/>
                <w:szCs w:val="22"/>
              </w:rPr>
              <w:t xml:space="preserve">To identify where </w:t>
            </w:r>
            <w:r w:rsidRPr="008F5447">
              <w:rPr>
                <w:sz w:val="22"/>
                <w:szCs w:val="22"/>
              </w:rPr>
              <w:t>specific wellbeing interventions</w:t>
            </w:r>
            <w:r>
              <w:rPr>
                <w:sz w:val="22"/>
                <w:szCs w:val="22"/>
              </w:rPr>
              <w:t xml:space="preserve"> are needed</w:t>
            </w:r>
            <w:r w:rsidRPr="008F5447">
              <w:rPr>
                <w:sz w:val="22"/>
                <w:szCs w:val="22"/>
              </w:rPr>
              <w:t xml:space="preserve"> </w:t>
            </w:r>
            <w:r>
              <w:rPr>
                <w:sz w:val="22"/>
                <w:szCs w:val="22"/>
              </w:rPr>
              <w:t xml:space="preserve">and deliver them within school. </w:t>
            </w:r>
            <w:r w:rsidRPr="008F5447">
              <w:rPr>
                <w:sz w:val="22"/>
                <w:szCs w:val="22"/>
              </w:rPr>
              <w:t>Sessions are time specific with smart targets measured and evaluated for impact by SLT.</w:t>
            </w:r>
            <w:r>
              <w:rPr>
                <w:sz w:val="22"/>
                <w:szCs w:val="22"/>
              </w:rPr>
              <w:t xml:space="preserve"> Provide time for Wellbeing staff leaders have time to ensure the interventions are appropriate and having an impact.</w:t>
            </w:r>
          </w:p>
          <w:p w14:paraId="730D9480" w14:textId="6977F80D" w:rsidR="006136C5" w:rsidRPr="008F5447" w:rsidRDefault="006136C5" w:rsidP="008F5447">
            <w:pPr>
              <w:pStyle w:val="TableRow"/>
              <w:rPr>
                <w:sz w:val="22"/>
                <w:szCs w:val="22"/>
              </w:rPr>
            </w:pPr>
            <w:r>
              <w:rPr>
                <w:sz w:val="22"/>
                <w:szCs w:val="22"/>
              </w:rPr>
              <w:t>£1000</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B8A70" w14:textId="77777777" w:rsidR="008F5447" w:rsidRPr="008F5447" w:rsidRDefault="008F5447">
            <w:pPr>
              <w:pStyle w:val="TableRowCentered"/>
              <w:jc w:val="left"/>
              <w:rPr>
                <w:sz w:val="22"/>
                <w:szCs w:val="22"/>
              </w:rPr>
            </w:pPr>
            <w:r w:rsidRPr="008F5447">
              <w:rPr>
                <w:sz w:val="22"/>
                <w:szCs w:val="22"/>
              </w:rPr>
              <w:t xml:space="preserve">There is extensive evidence associating childhood social and emotional skills with improved outcomes at school and in later life (e.g., improved academic performance, attitudes, behaviour and relationships with peers): </w:t>
            </w:r>
          </w:p>
          <w:p w14:paraId="637427D3" w14:textId="77777777" w:rsidR="008F5447" w:rsidRPr="008F5447" w:rsidRDefault="008F5447">
            <w:pPr>
              <w:pStyle w:val="TableRowCentered"/>
              <w:jc w:val="left"/>
              <w:rPr>
                <w:color w:val="0070C0"/>
              </w:rPr>
            </w:pPr>
            <w:r w:rsidRPr="008F5447">
              <w:rPr>
                <w:color w:val="0070C0"/>
              </w:rPr>
              <w:t>EEF Social and Emotional Learning.pdf(educationendowmentfoundation.org.uk</w:t>
            </w:r>
          </w:p>
          <w:p w14:paraId="7A28C5E1" w14:textId="77777777" w:rsidR="008F5447" w:rsidRDefault="008F5447">
            <w:pPr>
              <w:pStyle w:val="TableRowCentered"/>
              <w:jc w:val="left"/>
            </w:pPr>
          </w:p>
          <w:p w14:paraId="6B06F65F" w14:textId="3CBAC068" w:rsidR="008F5447" w:rsidRPr="006B4EDB" w:rsidRDefault="008F5447">
            <w:pPr>
              <w:pStyle w:val="TableRowCentered"/>
              <w:jc w:val="left"/>
              <w:rPr>
                <w:sz w:val="22"/>
                <w:szCs w:val="22"/>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68EBB" w14:textId="349B2A1D" w:rsidR="008F5447" w:rsidRDefault="008F5447">
            <w:pPr>
              <w:pStyle w:val="TableRowCentered"/>
              <w:jc w:val="left"/>
              <w:rPr>
                <w:sz w:val="22"/>
              </w:rPr>
            </w:pPr>
            <w:r>
              <w:rPr>
                <w:sz w:val="22"/>
              </w:rPr>
              <w:t>6</w:t>
            </w:r>
          </w:p>
        </w:tc>
      </w:tr>
      <w:tr w:rsidR="000368EA" w14:paraId="76AE0E80" w14:textId="77777777" w:rsidTr="000368EA">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319A" w14:textId="77777777" w:rsidR="000368EA" w:rsidRDefault="000368EA" w:rsidP="000368EA">
            <w:pPr>
              <w:pStyle w:val="TableRow"/>
              <w:rPr>
                <w:sz w:val="22"/>
                <w:szCs w:val="22"/>
              </w:rPr>
            </w:pPr>
            <w:r w:rsidRPr="00495212">
              <w:rPr>
                <w:sz w:val="22"/>
                <w:szCs w:val="22"/>
              </w:rPr>
              <w:t xml:space="preserve">To ensure attendance for children in receipt of PPG to be in line with non-PPG. </w:t>
            </w:r>
            <w:r>
              <w:rPr>
                <w:sz w:val="22"/>
                <w:szCs w:val="22"/>
              </w:rPr>
              <w:t>Increase the hours of the School Administrator so she can monitor and implement the new Attendance policy and procedures.</w:t>
            </w:r>
          </w:p>
          <w:p w14:paraId="048DD996" w14:textId="15A9F65D" w:rsidR="006136C5" w:rsidRDefault="006136C5" w:rsidP="000368EA">
            <w:pPr>
              <w:pStyle w:val="TableRow"/>
              <w:rPr>
                <w:sz w:val="22"/>
                <w:szCs w:val="22"/>
              </w:rPr>
            </w:pPr>
            <w:r>
              <w:rPr>
                <w:sz w:val="22"/>
                <w:szCs w:val="22"/>
              </w:rPr>
              <w:t>£4300</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BB6A" w14:textId="77777777" w:rsidR="000368EA" w:rsidRPr="00495212" w:rsidRDefault="000368EA" w:rsidP="000368EA">
            <w:pPr>
              <w:pStyle w:val="TableRowCentered"/>
              <w:jc w:val="left"/>
              <w:rPr>
                <w:sz w:val="22"/>
                <w:szCs w:val="22"/>
              </w:rPr>
            </w:pPr>
            <w:r w:rsidRPr="00495212">
              <w:rPr>
                <w:sz w:val="22"/>
                <w:szCs w:val="22"/>
              </w:rPr>
              <w:t>The DFE Guidance has been informed by engagement with schools that have significantly reduced lev</w:t>
            </w:r>
            <w:r>
              <w:rPr>
                <w:sz w:val="22"/>
                <w:szCs w:val="22"/>
              </w:rPr>
              <w:t>el</w:t>
            </w:r>
            <w:r w:rsidRPr="00495212">
              <w:rPr>
                <w:sz w:val="22"/>
                <w:szCs w:val="22"/>
              </w:rPr>
              <w:t xml:space="preserve"> of absence and persistent absence. </w:t>
            </w:r>
          </w:p>
          <w:p w14:paraId="5F8C9DEF" w14:textId="77777777" w:rsidR="000368EA" w:rsidRPr="00495212" w:rsidRDefault="000368EA" w:rsidP="000368EA">
            <w:pPr>
              <w:pStyle w:val="TableRowCentered"/>
              <w:tabs>
                <w:tab w:val="left" w:pos="3000"/>
              </w:tabs>
              <w:jc w:val="left"/>
              <w:rPr>
                <w:sz w:val="22"/>
                <w:szCs w:val="22"/>
              </w:rPr>
            </w:pPr>
            <w:r w:rsidRPr="00495212">
              <w:rPr>
                <w:sz w:val="22"/>
                <w:szCs w:val="22"/>
              </w:rPr>
              <w:tab/>
            </w:r>
          </w:p>
          <w:p w14:paraId="50E10D4F" w14:textId="3093BE28" w:rsidR="000368EA" w:rsidRPr="008F5447" w:rsidRDefault="000368EA" w:rsidP="000368EA">
            <w:pPr>
              <w:pStyle w:val="TableRowCentered"/>
              <w:jc w:val="left"/>
              <w:rPr>
                <w:sz w:val="22"/>
                <w:szCs w:val="22"/>
              </w:rPr>
            </w:pPr>
            <w:r w:rsidRPr="00495212">
              <w:rPr>
                <w:color w:val="365F91" w:themeColor="accent1" w:themeShade="BF"/>
                <w:sz w:val="22"/>
                <w:szCs w:val="22"/>
              </w:rPr>
              <w:t>DFE Improving School Attendance</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863EB" w14:textId="2EF2C053" w:rsidR="000368EA" w:rsidRDefault="000368EA" w:rsidP="000368EA">
            <w:pPr>
              <w:pStyle w:val="TableRowCentered"/>
              <w:jc w:val="left"/>
              <w:rPr>
                <w:sz w:val="22"/>
              </w:rPr>
            </w:pPr>
            <w:r>
              <w:rPr>
                <w:sz w:val="22"/>
              </w:rPr>
              <w:t>1-6</w:t>
            </w:r>
          </w:p>
        </w:tc>
      </w:tr>
    </w:tbl>
    <w:p w14:paraId="2A7D5540" w14:textId="77777777" w:rsidR="00E66558" w:rsidRDefault="00E66558">
      <w:pPr>
        <w:spacing w:before="240" w:after="0"/>
        <w:rPr>
          <w:b/>
          <w:bCs/>
          <w:color w:val="104F75"/>
          <w:sz w:val="28"/>
          <w:szCs w:val="28"/>
        </w:rPr>
      </w:pPr>
    </w:p>
    <w:p w14:paraId="2A7D5541" w14:textId="2430A04C" w:rsidR="00E66558" w:rsidRPr="00495212" w:rsidRDefault="009D71E8" w:rsidP="00120AB1">
      <w:r>
        <w:rPr>
          <w:b/>
          <w:bCs/>
          <w:color w:val="104F75"/>
          <w:sz w:val="28"/>
          <w:szCs w:val="28"/>
        </w:rPr>
        <w:t xml:space="preserve">Total budgeted cost: £ </w:t>
      </w:r>
      <w:r w:rsidR="006C7416">
        <w:rPr>
          <w:iCs/>
          <w:color w:val="104F75"/>
          <w:sz w:val="28"/>
          <w:szCs w:val="28"/>
        </w:rPr>
        <w:t>39</w:t>
      </w:r>
      <w:r w:rsidR="00654BEE">
        <w:rPr>
          <w:iCs/>
          <w:color w:val="104F75"/>
          <w:sz w:val="28"/>
          <w:szCs w:val="28"/>
        </w:rPr>
        <w:t>,300</w:t>
      </w:r>
    </w:p>
    <w:p w14:paraId="2A7D5542" w14:textId="77777777" w:rsidR="00E66558" w:rsidRDefault="009D71E8">
      <w:pPr>
        <w:pStyle w:val="Heading1"/>
      </w:pPr>
      <w:r>
        <w:lastRenderedPageBreak/>
        <w:t>Part B: Review of outcomes in the previous academic year</w:t>
      </w:r>
    </w:p>
    <w:p w14:paraId="2A7D5543" w14:textId="3DEBAE5D" w:rsidR="00E66558" w:rsidRDefault="009D71E8">
      <w:pPr>
        <w:pStyle w:val="Heading2"/>
      </w:pPr>
      <w:r>
        <w:t>Pupil premium strategy outcomes</w:t>
      </w:r>
    </w:p>
    <w:p w14:paraId="12517005" w14:textId="0F23FEBA" w:rsidR="0078784C" w:rsidRPr="00EC1FA3" w:rsidRDefault="009D71E8" w:rsidP="00EC1FA3">
      <w:r>
        <w:t>This details the impact that our pupil premium activity had on pupils in the 202</w:t>
      </w:r>
      <w:r w:rsidR="006C7416">
        <w:t>3</w:t>
      </w:r>
      <w:r>
        <w:t xml:space="preserve"> to 202</w:t>
      </w:r>
      <w:r w:rsidR="006C7416">
        <w:t>4</w:t>
      </w:r>
      <w:r>
        <w:t xml:space="preserve"> academic year. </w:t>
      </w:r>
      <w:bookmarkStart w:id="17" w:name="_Hlk114047072"/>
      <w:bookmarkEnd w:id="14"/>
      <w:bookmarkEnd w:id="15"/>
      <w:bookmarkEnd w:id="16"/>
    </w:p>
    <w:p w14:paraId="4945CCFA" w14:textId="7532E0DE" w:rsidR="00654BEE" w:rsidRPr="005A3200" w:rsidRDefault="00654BEE" w:rsidP="00654BEE">
      <w:pPr>
        <w:suppressAutoHyphens w:val="0"/>
        <w:autoSpaceDN/>
        <w:spacing w:after="200" w:line="276" w:lineRule="auto"/>
        <w:rPr>
          <w:rFonts w:eastAsiaTheme="minorHAnsi" w:cs="Arial"/>
          <w:color w:val="auto"/>
          <w:sz w:val="22"/>
          <w:szCs w:val="22"/>
          <w:lang w:eastAsia="en-US"/>
        </w:rPr>
      </w:pPr>
      <w:r w:rsidRPr="005A3200">
        <w:rPr>
          <w:rFonts w:eastAsiaTheme="minorHAnsi" w:cs="Arial"/>
          <w:color w:val="auto"/>
          <w:sz w:val="22"/>
          <w:szCs w:val="22"/>
          <w:lang w:eastAsia="en-US"/>
        </w:rPr>
        <w:t xml:space="preserve">Disadvantaged pupil attainment scores at the end of </w:t>
      </w:r>
      <w:r>
        <w:rPr>
          <w:rFonts w:eastAsiaTheme="minorHAnsi" w:cs="Arial"/>
          <w:color w:val="auto"/>
          <w:sz w:val="22"/>
          <w:szCs w:val="22"/>
          <w:lang w:eastAsia="en-US"/>
        </w:rPr>
        <w:t>EYFSP</w:t>
      </w:r>
      <w:r w:rsidRPr="005A3200">
        <w:rPr>
          <w:rFonts w:eastAsiaTheme="minorHAnsi" w:cs="Arial"/>
          <w:color w:val="auto"/>
          <w:sz w:val="22"/>
          <w:szCs w:val="22"/>
          <w:lang w:eastAsia="en-US"/>
        </w:rPr>
        <w:t xml:space="preserve"> </w:t>
      </w:r>
    </w:p>
    <w:tbl>
      <w:tblPr>
        <w:tblStyle w:val="TableGrid3"/>
        <w:tblW w:w="0" w:type="auto"/>
        <w:tblLook w:val="04A0" w:firstRow="1" w:lastRow="0" w:firstColumn="1" w:lastColumn="0" w:noHBand="0" w:noVBand="1"/>
      </w:tblPr>
      <w:tblGrid>
        <w:gridCol w:w="1684"/>
        <w:gridCol w:w="1406"/>
      </w:tblGrid>
      <w:tr w:rsidR="00654BEE" w:rsidRPr="005A3200" w14:paraId="492A5A69" w14:textId="77777777" w:rsidTr="0036543D">
        <w:tc>
          <w:tcPr>
            <w:tcW w:w="1684" w:type="dxa"/>
            <w:tcBorders>
              <w:top w:val="single" w:sz="4" w:space="0" w:color="auto"/>
              <w:left w:val="single" w:sz="4" w:space="0" w:color="auto"/>
              <w:bottom w:val="single" w:sz="4" w:space="0" w:color="auto"/>
              <w:right w:val="single" w:sz="4" w:space="0" w:color="auto"/>
            </w:tcBorders>
          </w:tcPr>
          <w:p w14:paraId="15D56F82" w14:textId="77777777" w:rsidR="00654BEE" w:rsidRPr="005A3200" w:rsidRDefault="00654BEE" w:rsidP="0036543D">
            <w:pPr>
              <w:shd w:val="clear" w:color="auto" w:fill="FFFFFF" w:themeFill="background1"/>
              <w:suppressAutoHyphens w:val="0"/>
              <w:spacing w:after="0" w:line="240" w:lineRule="auto"/>
              <w:rPr>
                <w:rFonts w:ascii="Arial" w:hAnsi="Arial" w:cs="Arial"/>
                <w:color w:val="auto"/>
                <w:sz w:val="22"/>
                <w:szCs w:val="22"/>
              </w:rPr>
            </w:pPr>
            <w:bookmarkStart w:id="18" w:name="_Hlk114047062"/>
            <w:bookmarkEnd w:id="17"/>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38239C27" w14:textId="77777777" w:rsidR="00654BEE" w:rsidRPr="00472AB1" w:rsidRDefault="00654BEE" w:rsidP="0036543D">
            <w:pPr>
              <w:shd w:val="clear" w:color="auto" w:fill="FFFFFF" w:themeFill="background1"/>
              <w:suppressAutoHyphens w:val="0"/>
              <w:spacing w:after="0" w:line="240" w:lineRule="auto"/>
              <w:rPr>
                <w:rFonts w:ascii="Arial" w:hAnsi="Arial" w:cs="Arial"/>
                <w:b/>
                <w:color w:val="auto"/>
                <w:sz w:val="22"/>
                <w:szCs w:val="22"/>
              </w:rPr>
            </w:pPr>
            <w:r w:rsidRPr="00472AB1">
              <w:rPr>
                <w:rFonts w:ascii="Arial" w:hAnsi="Arial" w:cs="Arial"/>
                <w:b/>
                <w:color w:val="auto"/>
                <w:sz w:val="22"/>
                <w:szCs w:val="22"/>
              </w:rPr>
              <w:t>GLD</w:t>
            </w:r>
          </w:p>
        </w:tc>
      </w:tr>
      <w:tr w:rsidR="00654BEE" w:rsidRPr="005A3200" w14:paraId="1AD85A7E" w14:textId="77777777" w:rsidTr="0036543D">
        <w:tc>
          <w:tcPr>
            <w:tcW w:w="1684" w:type="dxa"/>
            <w:tcBorders>
              <w:top w:val="single" w:sz="4" w:space="0" w:color="auto"/>
              <w:left w:val="single" w:sz="4" w:space="0" w:color="auto"/>
              <w:bottom w:val="single" w:sz="4" w:space="0" w:color="auto"/>
              <w:right w:val="single" w:sz="4" w:space="0" w:color="auto"/>
            </w:tcBorders>
            <w:hideMark/>
          </w:tcPr>
          <w:p w14:paraId="78DB4A9A" w14:textId="77777777" w:rsidR="00654BEE" w:rsidRPr="00472AB1" w:rsidRDefault="00654BEE" w:rsidP="0036543D">
            <w:pPr>
              <w:shd w:val="clear" w:color="auto" w:fill="FFFFFF" w:themeFill="background1"/>
              <w:suppressAutoHyphens w:val="0"/>
              <w:spacing w:after="0" w:line="240" w:lineRule="auto"/>
              <w:rPr>
                <w:rFonts w:ascii="Arial" w:hAnsi="Arial" w:cs="Arial"/>
                <w:b/>
                <w:color w:val="auto"/>
                <w:sz w:val="22"/>
                <w:szCs w:val="22"/>
              </w:rPr>
            </w:pPr>
            <w:r w:rsidRPr="00472AB1">
              <w:rPr>
                <w:rFonts w:ascii="Arial" w:hAnsi="Arial" w:cs="Arial"/>
                <w:b/>
                <w:color w:val="auto"/>
                <w:sz w:val="22"/>
                <w:szCs w:val="22"/>
              </w:rPr>
              <w:t>Disadvantaged</w:t>
            </w:r>
          </w:p>
          <w:p w14:paraId="0FC9FBB2" w14:textId="6DF4A118" w:rsidR="00654BEE" w:rsidRPr="005A3200" w:rsidRDefault="00654BEE" w:rsidP="0036543D">
            <w:pPr>
              <w:shd w:val="clear" w:color="auto" w:fill="FFFFFF" w:themeFill="background1"/>
              <w:suppressAutoHyphens w:val="0"/>
              <w:spacing w:after="0" w:line="240" w:lineRule="auto"/>
              <w:rPr>
                <w:rFonts w:ascii="Arial" w:hAnsi="Arial" w:cs="Arial"/>
                <w:color w:val="auto"/>
                <w:sz w:val="22"/>
                <w:szCs w:val="22"/>
              </w:rPr>
            </w:pPr>
            <w:r w:rsidRPr="00472AB1">
              <w:rPr>
                <w:rFonts w:ascii="Arial" w:hAnsi="Arial" w:cs="Arial"/>
                <w:b/>
                <w:color w:val="auto"/>
                <w:sz w:val="22"/>
                <w:szCs w:val="22"/>
              </w:rPr>
              <w:t>(</w:t>
            </w:r>
            <w:r w:rsidR="00F950B6">
              <w:rPr>
                <w:rFonts w:ascii="Arial" w:hAnsi="Arial" w:cs="Arial"/>
                <w:b/>
                <w:color w:val="auto"/>
                <w:sz w:val="22"/>
                <w:szCs w:val="22"/>
              </w:rPr>
              <w:t>3</w:t>
            </w:r>
            <w:r w:rsidRPr="00472AB1">
              <w:rPr>
                <w:rFonts w:ascii="Arial" w:hAnsi="Arial" w:cs="Arial"/>
                <w:b/>
                <w:color w:val="auto"/>
                <w:sz w:val="22"/>
                <w:szCs w:val="22"/>
              </w:rPr>
              <w:t>pupils)</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52C997FB" w14:textId="2BB24888" w:rsidR="00654BEE" w:rsidRPr="0069144A" w:rsidRDefault="00F950B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67</w:t>
            </w:r>
            <w:r w:rsidR="00654BEE" w:rsidRPr="0069144A">
              <w:rPr>
                <w:rFonts w:ascii="Arial" w:hAnsi="Arial" w:cs="Arial"/>
                <w:color w:val="auto"/>
                <w:sz w:val="22"/>
                <w:szCs w:val="22"/>
              </w:rPr>
              <w:t>%</w:t>
            </w:r>
          </w:p>
        </w:tc>
      </w:tr>
      <w:tr w:rsidR="00654BEE" w:rsidRPr="005A3200" w14:paraId="341CECC8" w14:textId="77777777" w:rsidTr="0036543D">
        <w:tc>
          <w:tcPr>
            <w:tcW w:w="1684" w:type="dxa"/>
            <w:tcBorders>
              <w:top w:val="single" w:sz="4" w:space="0" w:color="auto"/>
              <w:left w:val="single" w:sz="4" w:space="0" w:color="auto"/>
              <w:bottom w:val="single" w:sz="4" w:space="0" w:color="auto"/>
              <w:right w:val="single" w:sz="4" w:space="0" w:color="auto"/>
            </w:tcBorders>
          </w:tcPr>
          <w:p w14:paraId="7914533C" w14:textId="77777777" w:rsidR="00654BEE" w:rsidRPr="00472AB1" w:rsidRDefault="00654BEE" w:rsidP="0036543D">
            <w:pPr>
              <w:shd w:val="clear" w:color="auto" w:fill="FFFFFF" w:themeFill="background1"/>
              <w:suppressAutoHyphens w:val="0"/>
              <w:spacing w:after="0" w:line="240" w:lineRule="auto"/>
              <w:rPr>
                <w:rFonts w:cs="Arial"/>
                <w:b/>
                <w:color w:val="auto"/>
                <w:sz w:val="22"/>
                <w:szCs w:val="22"/>
              </w:rPr>
            </w:pPr>
            <w:r>
              <w:rPr>
                <w:rFonts w:cs="Arial"/>
                <w:b/>
                <w:color w:val="auto"/>
                <w:sz w:val="22"/>
                <w:szCs w:val="22"/>
              </w:rPr>
              <w:t>Non-disadvantaged</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BCA1F3B" w14:textId="07D71E8D" w:rsidR="00654BEE" w:rsidRPr="0069144A" w:rsidRDefault="00F950B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8</w:t>
            </w:r>
            <w:r w:rsidR="005A1738" w:rsidRPr="0069144A">
              <w:rPr>
                <w:rFonts w:ascii="Arial" w:hAnsi="Arial" w:cs="Arial"/>
                <w:color w:val="auto"/>
                <w:sz w:val="22"/>
                <w:szCs w:val="22"/>
              </w:rPr>
              <w:t>1</w:t>
            </w:r>
            <w:r w:rsidR="00654BEE" w:rsidRPr="0069144A">
              <w:rPr>
                <w:rFonts w:ascii="Arial" w:hAnsi="Arial" w:cs="Arial"/>
                <w:color w:val="auto"/>
                <w:sz w:val="22"/>
                <w:szCs w:val="22"/>
              </w:rPr>
              <w:t>%</w:t>
            </w:r>
          </w:p>
        </w:tc>
      </w:tr>
      <w:bookmarkEnd w:id="18"/>
    </w:tbl>
    <w:p w14:paraId="54B48008" w14:textId="77777777" w:rsidR="00654BEE" w:rsidRDefault="00654BEE" w:rsidP="00654BEE">
      <w:pPr>
        <w:suppressAutoHyphens w:val="0"/>
        <w:autoSpaceDN/>
        <w:spacing w:after="200" w:line="276" w:lineRule="auto"/>
        <w:rPr>
          <w:rFonts w:eastAsiaTheme="minorHAnsi" w:cs="Arial"/>
          <w:color w:val="auto"/>
          <w:sz w:val="22"/>
          <w:szCs w:val="22"/>
          <w:lang w:eastAsia="en-US"/>
        </w:rPr>
      </w:pPr>
    </w:p>
    <w:p w14:paraId="2BA0A8C5" w14:textId="3BE99112" w:rsidR="00654BEE" w:rsidRDefault="00654BEE" w:rsidP="00654BEE">
      <w:pPr>
        <w:suppressAutoHyphens w:val="0"/>
        <w:autoSpaceDN/>
        <w:spacing w:after="200" w:line="276" w:lineRule="auto"/>
        <w:rPr>
          <w:rFonts w:eastAsiaTheme="minorHAnsi" w:cs="Arial"/>
          <w:color w:val="auto"/>
          <w:sz w:val="22"/>
          <w:szCs w:val="22"/>
          <w:lang w:eastAsia="en-US"/>
        </w:rPr>
      </w:pPr>
      <w:bookmarkStart w:id="19" w:name="_Hlk114047245"/>
      <w:r w:rsidRPr="0004546C">
        <w:rPr>
          <w:rFonts w:eastAsiaTheme="minorHAnsi" w:cs="Arial"/>
          <w:color w:val="auto"/>
          <w:sz w:val="22"/>
          <w:szCs w:val="22"/>
          <w:lang w:eastAsia="en-US"/>
        </w:rPr>
        <w:t xml:space="preserve">Disadvantaged pupil </w:t>
      </w:r>
      <w:r>
        <w:rPr>
          <w:rFonts w:eastAsiaTheme="minorHAnsi" w:cs="Arial"/>
          <w:color w:val="auto"/>
          <w:sz w:val="22"/>
          <w:szCs w:val="22"/>
          <w:lang w:eastAsia="en-US"/>
        </w:rPr>
        <w:t>phonics scores at the end of Year 1</w:t>
      </w:r>
    </w:p>
    <w:tbl>
      <w:tblPr>
        <w:tblStyle w:val="TableGrid3"/>
        <w:tblW w:w="0" w:type="auto"/>
        <w:tblLook w:val="04A0" w:firstRow="1" w:lastRow="0" w:firstColumn="1" w:lastColumn="0" w:noHBand="0" w:noVBand="1"/>
      </w:tblPr>
      <w:tblGrid>
        <w:gridCol w:w="1684"/>
        <w:gridCol w:w="1406"/>
      </w:tblGrid>
      <w:tr w:rsidR="00654BEE" w:rsidRPr="005A3200" w14:paraId="652F5F2A" w14:textId="77777777" w:rsidTr="0036543D">
        <w:tc>
          <w:tcPr>
            <w:tcW w:w="1684" w:type="dxa"/>
            <w:tcBorders>
              <w:top w:val="single" w:sz="4" w:space="0" w:color="auto"/>
              <w:left w:val="single" w:sz="4" w:space="0" w:color="auto"/>
              <w:bottom w:val="single" w:sz="4" w:space="0" w:color="auto"/>
              <w:right w:val="single" w:sz="4" w:space="0" w:color="auto"/>
            </w:tcBorders>
          </w:tcPr>
          <w:p w14:paraId="4D775CB1" w14:textId="77777777" w:rsidR="00654BEE" w:rsidRPr="005A3200" w:rsidRDefault="00654BEE" w:rsidP="0036543D">
            <w:pPr>
              <w:shd w:val="clear" w:color="auto" w:fill="FFFFFF" w:themeFill="background1"/>
              <w:suppressAutoHyphens w:val="0"/>
              <w:spacing w:after="0" w:line="240" w:lineRule="auto"/>
              <w:rPr>
                <w:rFonts w:ascii="Arial" w:hAnsi="Arial" w:cs="Arial"/>
                <w:color w:val="auto"/>
                <w:sz w:val="22"/>
                <w:szCs w:val="22"/>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772BC4F2" w14:textId="1D5BFD9F" w:rsidR="00654BEE" w:rsidRPr="00472AB1" w:rsidRDefault="005016A6" w:rsidP="0036543D">
            <w:pPr>
              <w:shd w:val="clear" w:color="auto" w:fill="FFFFFF" w:themeFill="background1"/>
              <w:suppressAutoHyphens w:val="0"/>
              <w:spacing w:after="0" w:line="240" w:lineRule="auto"/>
              <w:rPr>
                <w:rFonts w:ascii="Arial" w:hAnsi="Arial" w:cs="Arial"/>
                <w:b/>
                <w:color w:val="auto"/>
                <w:sz w:val="22"/>
                <w:szCs w:val="22"/>
              </w:rPr>
            </w:pPr>
            <w:r>
              <w:rPr>
                <w:rFonts w:ascii="Arial" w:hAnsi="Arial" w:cs="Arial"/>
                <w:b/>
                <w:color w:val="auto"/>
                <w:sz w:val="22"/>
                <w:szCs w:val="22"/>
              </w:rPr>
              <w:t>Expected Standard</w:t>
            </w:r>
          </w:p>
        </w:tc>
      </w:tr>
      <w:tr w:rsidR="00654BEE" w:rsidRPr="005A3200" w14:paraId="1F89EBB9" w14:textId="77777777" w:rsidTr="0036543D">
        <w:tc>
          <w:tcPr>
            <w:tcW w:w="1684" w:type="dxa"/>
            <w:tcBorders>
              <w:top w:val="single" w:sz="4" w:space="0" w:color="auto"/>
              <w:left w:val="single" w:sz="4" w:space="0" w:color="auto"/>
              <w:bottom w:val="single" w:sz="4" w:space="0" w:color="auto"/>
              <w:right w:val="single" w:sz="4" w:space="0" w:color="auto"/>
            </w:tcBorders>
            <w:hideMark/>
          </w:tcPr>
          <w:p w14:paraId="6562B3C9" w14:textId="77777777" w:rsidR="00654BEE" w:rsidRPr="00472AB1" w:rsidRDefault="00654BEE" w:rsidP="0036543D">
            <w:pPr>
              <w:shd w:val="clear" w:color="auto" w:fill="FFFFFF" w:themeFill="background1"/>
              <w:suppressAutoHyphens w:val="0"/>
              <w:spacing w:after="0" w:line="240" w:lineRule="auto"/>
              <w:rPr>
                <w:rFonts w:ascii="Arial" w:hAnsi="Arial" w:cs="Arial"/>
                <w:b/>
                <w:color w:val="auto"/>
                <w:sz w:val="22"/>
                <w:szCs w:val="22"/>
              </w:rPr>
            </w:pPr>
            <w:r w:rsidRPr="00472AB1">
              <w:rPr>
                <w:rFonts w:ascii="Arial" w:hAnsi="Arial" w:cs="Arial"/>
                <w:b/>
                <w:color w:val="auto"/>
                <w:sz w:val="22"/>
                <w:szCs w:val="22"/>
              </w:rPr>
              <w:t>Disadvantaged</w:t>
            </w:r>
          </w:p>
          <w:p w14:paraId="16980495" w14:textId="79299582" w:rsidR="00654BEE" w:rsidRPr="005A3200" w:rsidRDefault="00654BEE" w:rsidP="0036543D">
            <w:pPr>
              <w:shd w:val="clear" w:color="auto" w:fill="FFFFFF" w:themeFill="background1"/>
              <w:suppressAutoHyphens w:val="0"/>
              <w:spacing w:after="0" w:line="240" w:lineRule="auto"/>
              <w:rPr>
                <w:rFonts w:ascii="Arial" w:hAnsi="Arial" w:cs="Arial"/>
                <w:color w:val="auto"/>
                <w:sz w:val="22"/>
                <w:szCs w:val="22"/>
              </w:rPr>
            </w:pPr>
            <w:r w:rsidRPr="00472AB1">
              <w:rPr>
                <w:rFonts w:ascii="Arial" w:hAnsi="Arial" w:cs="Arial"/>
                <w:b/>
                <w:color w:val="auto"/>
                <w:sz w:val="22"/>
                <w:szCs w:val="22"/>
              </w:rPr>
              <w:t>(</w:t>
            </w:r>
            <w:r w:rsidR="005016A6">
              <w:rPr>
                <w:rFonts w:ascii="Arial" w:hAnsi="Arial" w:cs="Arial"/>
                <w:b/>
                <w:color w:val="auto"/>
                <w:sz w:val="22"/>
                <w:szCs w:val="22"/>
              </w:rPr>
              <w:t>4</w:t>
            </w:r>
            <w:r w:rsidRPr="00472AB1">
              <w:rPr>
                <w:rFonts w:ascii="Arial" w:hAnsi="Arial" w:cs="Arial"/>
                <w:b/>
                <w:color w:val="auto"/>
                <w:sz w:val="22"/>
                <w:szCs w:val="22"/>
              </w:rPr>
              <w:t xml:space="preserve"> pupils)</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0F48472" w14:textId="4E658DBF" w:rsidR="00654BEE"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75</w:t>
            </w:r>
            <w:r w:rsidR="00654BEE" w:rsidRPr="0069144A">
              <w:rPr>
                <w:rFonts w:ascii="Arial" w:hAnsi="Arial" w:cs="Arial"/>
                <w:color w:val="auto"/>
                <w:sz w:val="22"/>
                <w:szCs w:val="22"/>
              </w:rPr>
              <w:t>%</w:t>
            </w:r>
          </w:p>
        </w:tc>
      </w:tr>
      <w:tr w:rsidR="00654BEE" w:rsidRPr="005A3200" w14:paraId="7CABDAC7" w14:textId="77777777" w:rsidTr="0036543D">
        <w:tc>
          <w:tcPr>
            <w:tcW w:w="1684" w:type="dxa"/>
            <w:tcBorders>
              <w:top w:val="single" w:sz="4" w:space="0" w:color="auto"/>
              <w:left w:val="single" w:sz="4" w:space="0" w:color="auto"/>
              <w:bottom w:val="single" w:sz="4" w:space="0" w:color="auto"/>
              <w:right w:val="single" w:sz="4" w:space="0" w:color="auto"/>
            </w:tcBorders>
          </w:tcPr>
          <w:p w14:paraId="0924D7AD" w14:textId="77777777" w:rsidR="00654BEE" w:rsidRPr="00472AB1" w:rsidRDefault="00654BEE" w:rsidP="0036543D">
            <w:pPr>
              <w:shd w:val="clear" w:color="auto" w:fill="FFFFFF" w:themeFill="background1"/>
              <w:suppressAutoHyphens w:val="0"/>
              <w:spacing w:after="0" w:line="240" w:lineRule="auto"/>
              <w:rPr>
                <w:rFonts w:cs="Arial"/>
                <w:b/>
                <w:color w:val="auto"/>
                <w:sz w:val="22"/>
                <w:szCs w:val="22"/>
              </w:rPr>
            </w:pPr>
            <w:r>
              <w:rPr>
                <w:rFonts w:cs="Arial"/>
                <w:b/>
                <w:color w:val="auto"/>
                <w:sz w:val="22"/>
                <w:szCs w:val="22"/>
              </w:rPr>
              <w:t>Non-disadvantaged</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6572B58D" w14:textId="217B16E4" w:rsidR="00654BEE" w:rsidRPr="0069144A" w:rsidRDefault="00654BEE"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8</w:t>
            </w:r>
            <w:r w:rsidR="005016A6">
              <w:rPr>
                <w:rFonts w:ascii="Arial" w:hAnsi="Arial" w:cs="Arial"/>
                <w:color w:val="auto"/>
                <w:sz w:val="22"/>
                <w:szCs w:val="22"/>
              </w:rPr>
              <w:t>1</w:t>
            </w:r>
            <w:r w:rsidRPr="0069144A">
              <w:rPr>
                <w:rFonts w:ascii="Arial" w:hAnsi="Arial" w:cs="Arial"/>
                <w:color w:val="auto"/>
                <w:sz w:val="22"/>
                <w:szCs w:val="22"/>
              </w:rPr>
              <w:t>%</w:t>
            </w:r>
          </w:p>
        </w:tc>
      </w:tr>
      <w:bookmarkEnd w:id="19"/>
    </w:tbl>
    <w:p w14:paraId="2D572631" w14:textId="77777777" w:rsidR="00654BEE" w:rsidRPr="000D622E" w:rsidRDefault="00654BEE" w:rsidP="00654BEE">
      <w:pPr>
        <w:suppressAutoHyphens w:val="0"/>
        <w:autoSpaceDN/>
        <w:spacing w:after="200" w:line="276" w:lineRule="auto"/>
        <w:rPr>
          <w:rFonts w:eastAsiaTheme="minorHAnsi" w:cs="Arial"/>
          <w:color w:val="auto"/>
          <w:sz w:val="22"/>
          <w:szCs w:val="22"/>
          <w:lang w:eastAsia="en-US"/>
        </w:rPr>
      </w:pPr>
    </w:p>
    <w:p w14:paraId="0360E917" w14:textId="0A6F3316" w:rsidR="00654BEE" w:rsidRPr="005A3200" w:rsidRDefault="00654BEE" w:rsidP="00654BEE">
      <w:pPr>
        <w:rPr>
          <w:rFonts w:cs="Arial"/>
          <w:sz w:val="22"/>
          <w:szCs w:val="22"/>
        </w:rPr>
      </w:pPr>
      <w:r w:rsidRPr="005A3200">
        <w:rPr>
          <w:rFonts w:cs="Arial"/>
          <w:sz w:val="22"/>
          <w:szCs w:val="22"/>
        </w:rPr>
        <w:t xml:space="preserve">Disadvantaged pupil attainment scores at the end of KS2 </w:t>
      </w:r>
    </w:p>
    <w:tbl>
      <w:tblPr>
        <w:tblStyle w:val="TableGrid2"/>
        <w:tblW w:w="0" w:type="auto"/>
        <w:tblLook w:val="04A0" w:firstRow="1" w:lastRow="0" w:firstColumn="1" w:lastColumn="0" w:noHBand="0" w:noVBand="1"/>
      </w:tblPr>
      <w:tblGrid>
        <w:gridCol w:w="1556"/>
        <w:gridCol w:w="1385"/>
        <w:gridCol w:w="1350"/>
        <w:gridCol w:w="1276"/>
        <w:gridCol w:w="1208"/>
        <w:gridCol w:w="1130"/>
        <w:gridCol w:w="1130"/>
      </w:tblGrid>
      <w:tr w:rsidR="005016A6" w:rsidRPr="005A3200" w14:paraId="645A7001" w14:textId="55EAC483" w:rsidTr="00575717">
        <w:tc>
          <w:tcPr>
            <w:tcW w:w="1556" w:type="dxa"/>
          </w:tcPr>
          <w:p w14:paraId="37DACF2E" w14:textId="02EFAE45" w:rsidR="005016A6" w:rsidRPr="005A3200"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3 pupils</w:t>
            </w:r>
          </w:p>
        </w:tc>
        <w:tc>
          <w:tcPr>
            <w:tcW w:w="1385" w:type="dxa"/>
            <w:shd w:val="clear" w:color="auto" w:fill="auto"/>
          </w:tcPr>
          <w:p w14:paraId="604AD78C" w14:textId="77777777" w:rsidR="005016A6" w:rsidRPr="00472AB1" w:rsidRDefault="005016A6" w:rsidP="0036543D">
            <w:pPr>
              <w:shd w:val="clear" w:color="auto" w:fill="FFFFFF" w:themeFill="background1"/>
              <w:suppressAutoHyphens w:val="0"/>
              <w:spacing w:after="0" w:line="240" w:lineRule="auto"/>
              <w:rPr>
                <w:rFonts w:ascii="Arial" w:hAnsi="Arial" w:cs="Arial"/>
                <w:b/>
                <w:color w:val="auto"/>
                <w:sz w:val="22"/>
                <w:szCs w:val="22"/>
              </w:rPr>
            </w:pPr>
            <w:r w:rsidRPr="00472AB1">
              <w:rPr>
                <w:rFonts w:ascii="Arial" w:hAnsi="Arial" w:cs="Arial"/>
                <w:b/>
                <w:color w:val="auto"/>
                <w:sz w:val="22"/>
                <w:szCs w:val="22"/>
              </w:rPr>
              <w:t>Reading</w:t>
            </w:r>
          </w:p>
        </w:tc>
        <w:tc>
          <w:tcPr>
            <w:tcW w:w="1350" w:type="dxa"/>
            <w:shd w:val="clear" w:color="auto" w:fill="auto"/>
          </w:tcPr>
          <w:p w14:paraId="323C0CC6" w14:textId="77777777" w:rsidR="005016A6" w:rsidRPr="00472AB1" w:rsidRDefault="005016A6" w:rsidP="0036543D">
            <w:pPr>
              <w:shd w:val="clear" w:color="auto" w:fill="FFFFFF" w:themeFill="background1"/>
              <w:suppressAutoHyphens w:val="0"/>
              <w:spacing w:after="0" w:line="240" w:lineRule="auto"/>
              <w:rPr>
                <w:rFonts w:ascii="Arial" w:hAnsi="Arial" w:cs="Arial"/>
                <w:b/>
                <w:color w:val="auto"/>
                <w:sz w:val="22"/>
                <w:szCs w:val="22"/>
              </w:rPr>
            </w:pPr>
            <w:r w:rsidRPr="00472AB1">
              <w:rPr>
                <w:rFonts w:ascii="Arial" w:hAnsi="Arial" w:cs="Arial"/>
                <w:b/>
                <w:color w:val="auto"/>
                <w:sz w:val="22"/>
                <w:szCs w:val="22"/>
              </w:rPr>
              <w:t>Writing</w:t>
            </w:r>
          </w:p>
        </w:tc>
        <w:tc>
          <w:tcPr>
            <w:tcW w:w="1276" w:type="dxa"/>
            <w:shd w:val="clear" w:color="auto" w:fill="auto"/>
          </w:tcPr>
          <w:p w14:paraId="44C2C585" w14:textId="77777777" w:rsidR="005016A6" w:rsidRPr="00472AB1" w:rsidRDefault="005016A6" w:rsidP="0036543D">
            <w:pPr>
              <w:shd w:val="clear" w:color="auto" w:fill="FFFFFF" w:themeFill="background1"/>
              <w:suppressAutoHyphens w:val="0"/>
              <w:spacing w:after="0" w:line="240" w:lineRule="auto"/>
              <w:rPr>
                <w:rFonts w:ascii="Arial" w:hAnsi="Arial" w:cs="Arial"/>
                <w:b/>
                <w:color w:val="auto"/>
                <w:sz w:val="22"/>
                <w:szCs w:val="22"/>
              </w:rPr>
            </w:pPr>
            <w:r w:rsidRPr="00472AB1">
              <w:rPr>
                <w:rFonts w:ascii="Arial" w:hAnsi="Arial" w:cs="Arial"/>
                <w:b/>
                <w:color w:val="auto"/>
                <w:sz w:val="22"/>
                <w:szCs w:val="22"/>
              </w:rPr>
              <w:t>Maths</w:t>
            </w:r>
          </w:p>
        </w:tc>
        <w:tc>
          <w:tcPr>
            <w:tcW w:w="1208" w:type="dxa"/>
            <w:shd w:val="clear" w:color="auto" w:fill="auto"/>
          </w:tcPr>
          <w:p w14:paraId="7F2064FE" w14:textId="77777777" w:rsidR="005016A6" w:rsidRPr="00472AB1" w:rsidRDefault="005016A6" w:rsidP="0036543D">
            <w:pPr>
              <w:shd w:val="clear" w:color="auto" w:fill="FFFFFF" w:themeFill="background1"/>
              <w:suppressAutoHyphens w:val="0"/>
              <w:spacing w:after="0" w:line="240" w:lineRule="auto"/>
              <w:rPr>
                <w:rFonts w:ascii="Arial" w:hAnsi="Arial" w:cs="Arial"/>
                <w:b/>
                <w:color w:val="auto"/>
                <w:sz w:val="22"/>
                <w:szCs w:val="22"/>
              </w:rPr>
            </w:pPr>
            <w:r w:rsidRPr="00472AB1">
              <w:rPr>
                <w:rFonts w:ascii="Arial" w:hAnsi="Arial" w:cs="Arial"/>
                <w:b/>
                <w:color w:val="auto"/>
                <w:sz w:val="22"/>
                <w:szCs w:val="22"/>
              </w:rPr>
              <w:t>GPS</w:t>
            </w:r>
          </w:p>
        </w:tc>
        <w:tc>
          <w:tcPr>
            <w:tcW w:w="1130" w:type="dxa"/>
            <w:shd w:val="clear" w:color="auto" w:fill="auto"/>
          </w:tcPr>
          <w:p w14:paraId="18CF50C6" w14:textId="77777777" w:rsidR="005016A6" w:rsidRPr="005016A6" w:rsidRDefault="005016A6" w:rsidP="0036543D">
            <w:pPr>
              <w:shd w:val="clear" w:color="auto" w:fill="FFFFFF" w:themeFill="background1"/>
              <w:suppressAutoHyphens w:val="0"/>
              <w:spacing w:after="0" w:line="240" w:lineRule="auto"/>
              <w:rPr>
                <w:rFonts w:ascii="Arial" w:hAnsi="Arial" w:cs="Arial"/>
                <w:b/>
                <w:color w:val="auto"/>
                <w:sz w:val="22"/>
                <w:szCs w:val="22"/>
              </w:rPr>
            </w:pPr>
            <w:r w:rsidRPr="005016A6">
              <w:rPr>
                <w:rFonts w:ascii="Arial" w:hAnsi="Arial" w:cs="Arial"/>
                <w:b/>
                <w:color w:val="auto"/>
                <w:sz w:val="22"/>
                <w:szCs w:val="22"/>
              </w:rPr>
              <w:t>RWM comb</w:t>
            </w:r>
          </w:p>
        </w:tc>
        <w:tc>
          <w:tcPr>
            <w:tcW w:w="1130" w:type="dxa"/>
          </w:tcPr>
          <w:p w14:paraId="2A81B14E" w14:textId="6F7CBA6D" w:rsidR="005016A6" w:rsidRPr="005016A6" w:rsidRDefault="005016A6" w:rsidP="0036543D">
            <w:pPr>
              <w:shd w:val="clear" w:color="auto" w:fill="FFFFFF" w:themeFill="background1"/>
              <w:suppressAutoHyphens w:val="0"/>
              <w:spacing w:after="0" w:line="240" w:lineRule="auto"/>
              <w:rPr>
                <w:rFonts w:cs="Arial"/>
                <w:b/>
                <w:color w:val="auto"/>
                <w:sz w:val="22"/>
                <w:szCs w:val="22"/>
              </w:rPr>
            </w:pPr>
            <w:r w:rsidRPr="005016A6">
              <w:rPr>
                <w:rFonts w:cs="Arial"/>
                <w:b/>
                <w:color w:val="auto"/>
                <w:sz w:val="22"/>
                <w:szCs w:val="22"/>
              </w:rPr>
              <w:t>Science</w:t>
            </w:r>
          </w:p>
        </w:tc>
      </w:tr>
      <w:tr w:rsidR="005016A6" w:rsidRPr="005A3200" w14:paraId="3C26F7E5" w14:textId="4C7BBD66" w:rsidTr="00575717">
        <w:tc>
          <w:tcPr>
            <w:tcW w:w="1556" w:type="dxa"/>
          </w:tcPr>
          <w:p w14:paraId="7C87B96A" w14:textId="77777777" w:rsidR="005016A6" w:rsidRPr="00472AB1" w:rsidRDefault="005016A6" w:rsidP="0036543D">
            <w:pPr>
              <w:shd w:val="clear" w:color="auto" w:fill="FFFFFF" w:themeFill="background1"/>
              <w:suppressAutoHyphens w:val="0"/>
              <w:spacing w:after="0" w:line="240" w:lineRule="auto"/>
              <w:rPr>
                <w:rFonts w:ascii="Arial" w:hAnsi="Arial" w:cs="Arial"/>
                <w:b/>
                <w:color w:val="auto"/>
                <w:sz w:val="22"/>
                <w:szCs w:val="22"/>
              </w:rPr>
            </w:pPr>
            <w:r w:rsidRPr="00472AB1">
              <w:rPr>
                <w:rFonts w:ascii="Arial" w:hAnsi="Arial" w:cs="Arial"/>
                <w:b/>
                <w:color w:val="auto"/>
                <w:sz w:val="22"/>
                <w:szCs w:val="22"/>
              </w:rPr>
              <w:t>Expected + Standard</w:t>
            </w:r>
          </w:p>
        </w:tc>
        <w:tc>
          <w:tcPr>
            <w:tcW w:w="1385" w:type="dxa"/>
            <w:shd w:val="clear" w:color="auto" w:fill="auto"/>
          </w:tcPr>
          <w:p w14:paraId="7DE11CA7" w14:textId="11B667FE"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100</w:t>
            </w:r>
            <w:r w:rsidRPr="0069144A">
              <w:rPr>
                <w:rFonts w:ascii="Arial" w:hAnsi="Arial" w:cs="Arial"/>
                <w:color w:val="auto"/>
                <w:sz w:val="22"/>
                <w:szCs w:val="22"/>
              </w:rPr>
              <w:t>%</w:t>
            </w:r>
          </w:p>
        </w:tc>
        <w:tc>
          <w:tcPr>
            <w:tcW w:w="1350" w:type="dxa"/>
            <w:shd w:val="clear" w:color="auto" w:fill="auto"/>
          </w:tcPr>
          <w:p w14:paraId="40152A54" w14:textId="15C70DF3"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6</w:t>
            </w:r>
            <w:r>
              <w:rPr>
                <w:rFonts w:ascii="Arial" w:hAnsi="Arial" w:cs="Arial"/>
                <w:color w:val="auto"/>
                <w:sz w:val="22"/>
                <w:szCs w:val="22"/>
              </w:rPr>
              <w:t>7</w:t>
            </w:r>
            <w:r w:rsidRPr="0069144A">
              <w:rPr>
                <w:rFonts w:ascii="Arial" w:hAnsi="Arial" w:cs="Arial"/>
                <w:color w:val="auto"/>
                <w:sz w:val="22"/>
                <w:szCs w:val="22"/>
              </w:rPr>
              <w:t>%</w:t>
            </w:r>
          </w:p>
        </w:tc>
        <w:tc>
          <w:tcPr>
            <w:tcW w:w="1276" w:type="dxa"/>
            <w:shd w:val="clear" w:color="auto" w:fill="auto"/>
          </w:tcPr>
          <w:p w14:paraId="0705B581" w14:textId="30D33DCB"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10</w:t>
            </w:r>
            <w:r w:rsidRPr="0069144A">
              <w:rPr>
                <w:rFonts w:ascii="Arial" w:hAnsi="Arial" w:cs="Arial"/>
                <w:color w:val="auto"/>
                <w:sz w:val="22"/>
                <w:szCs w:val="22"/>
              </w:rPr>
              <w:t>0%</w:t>
            </w:r>
          </w:p>
        </w:tc>
        <w:tc>
          <w:tcPr>
            <w:tcW w:w="1208" w:type="dxa"/>
            <w:shd w:val="clear" w:color="auto" w:fill="auto"/>
          </w:tcPr>
          <w:p w14:paraId="0110D94E" w14:textId="697EA6F1"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10</w:t>
            </w:r>
            <w:r w:rsidRPr="0069144A">
              <w:rPr>
                <w:rFonts w:ascii="Arial" w:hAnsi="Arial" w:cs="Arial"/>
                <w:color w:val="auto"/>
                <w:sz w:val="22"/>
                <w:szCs w:val="22"/>
              </w:rPr>
              <w:t>0%</w:t>
            </w:r>
          </w:p>
        </w:tc>
        <w:tc>
          <w:tcPr>
            <w:tcW w:w="1130" w:type="dxa"/>
            <w:shd w:val="clear" w:color="auto" w:fill="auto"/>
          </w:tcPr>
          <w:p w14:paraId="7E6D24BA" w14:textId="3502560D"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67</w:t>
            </w:r>
            <w:r w:rsidRPr="0069144A">
              <w:rPr>
                <w:rFonts w:ascii="Arial" w:hAnsi="Arial" w:cs="Arial"/>
                <w:color w:val="auto"/>
                <w:sz w:val="22"/>
                <w:szCs w:val="22"/>
              </w:rPr>
              <w:t>%</w:t>
            </w:r>
          </w:p>
        </w:tc>
        <w:tc>
          <w:tcPr>
            <w:tcW w:w="1130" w:type="dxa"/>
          </w:tcPr>
          <w:p w14:paraId="421DD782" w14:textId="35C1E936" w:rsidR="005016A6" w:rsidRPr="0069144A" w:rsidRDefault="005016A6" w:rsidP="0036543D">
            <w:pPr>
              <w:shd w:val="clear" w:color="auto" w:fill="FFFFFF" w:themeFill="background1"/>
              <w:suppressAutoHyphens w:val="0"/>
              <w:spacing w:after="0" w:line="240" w:lineRule="auto"/>
              <w:rPr>
                <w:rFonts w:cs="Arial"/>
                <w:color w:val="auto"/>
                <w:sz w:val="22"/>
                <w:szCs w:val="22"/>
              </w:rPr>
            </w:pPr>
            <w:r>
              <w:rPr>
                <w:rFonts w:cs="Arial"/>
                <w:color w:val="auto"/>
                <w:sz w:val="22"/>
                <w:szCs w:val="22"/>
              </w:rPr>
              <w:t>67%</w:t>
            </w:r>
          </w:p>
        </w:tc>
      </w:tr>
      <w:tr w:rsidR="005016A6" w:rsidRPr="005A3200" w14:paraId="12360535" w14:textId="0DE16DD2" w:rsidTr="00575717">
        <w:tc>
          <w:tcPr>
            <w:tcW w:w="1556" w:type="dxa"/>
          </w:tcPr>
          <w:p w14:paraId="3E00E907" w14:textId="77777777" w:rsidR="005016A6" w:rsidRPr="00472AB1" w:rsidRDefault="005016A6" w:rsidP="0036543D">
            <w:pPr>
              <w:shd w:val="clear" w:color="auto" w:fill="FFFFFF" w:themeFill="background1"/>
              <w:suppressAutoHyphens w:val="0"/>
              <w:spacing w:after="0" w:line="240" w:lineRule="auto"/>
              <w:rPr>
                <w:rFonts w:cs="Arial"/>
                <w:b/>
                <w:color w:val="auto"/>
                <w:sz w:val="22"/>
                <w:szCs w:val="22"/>
              </w:rPr>
            </w:pPr>
            <w:r w:rsidRPr="00454E33">
              <w:rPr>
                <w:rFonts w:cs="Arial"/>
                <w:b/>
                <w:color w:val="auto"/>
                <w:sz w:val="22"/>
                <w:szCs w:val="22"/>
              </w:rPr>
              <w:t>Non-</w:t>
            </w:r>
            <w:proofErr w:type="spellStart"/>
            <w:r w:rsidRPr="00454E33">
              <w:rPr>
                <w:rFonts w:cs="Arial"/>
                <w:b/>
                <w:color w:val="auto"/>
                <w:sz w:val="22"/>
                <w:szCs w:val="22"/>
              </w:rPr>
              <w:t>disadvan</w:t>
            </w:r>
            <w:proofErr w:type="spellEnd"/>
            <w:r w:rsidRPr="00454E33">
              <w:rPr>
                <w:rFonts w:cs="Arial"/>
                <w:b/>
                <w:color w:val="auto"/>
                <w:sz w:val="22"/>
                <w:szCs w:val="22"/>
              </w:rPr>
              <w:t>-</w:t>
            </w:r>
            <w:proofErr w:type="spellStart"/>
            <w:r w:rsidRPr="00454E33">
              <w:rPr>
                <w:rFonts w:cs="Arial"/>
                <w:b/>
                <w:color w:val="auto"/>
                <w:sz w:val="22"/>
                <w:szCs w:val="22"/>
              </w:rPr>
              <w:t>taged</w:t>
            </w:r>
            <w:proofErr w:type="spellEnd"/>
          </w:p>
        </w:tc>
        <w:tc>
          <w:tcPr>
            <w:tcW w:w="1385" w:type="dxa"/>
            <w:shd w:val="clear" w:color="auto" w:fill="auto"/>
          </w:tcPr>
          <w:p w14:paraId="43F88D68" w14:textId="6F86A7AA"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8</w:t>
            </w:r>
            <w:r>
              <w:rPr>
                <w:rFonts w:ascii="Arial" w:hAnsi="Arial" w:cs="Arial"/>
                <w:color w:val="auto"/>
                <w:sz w:val="22"/>
                <w:szCs w:val="22"/>
              </w:rPr>
              <w:t>9</w:t>
            </w:r>
            <w:r w:rsidRPr="0069144A">
              <w:rPr>
                <w:rFonts w:ascii="Arial" w:hAnsi="Arial" w:cs="Arial"/>
                <w:color w:val="auto"/>
                <w:sz w:val="22"/>
                <w:szCs w:val="22"/>
              </w:rPr>
              <w:t>%</w:t>
            </w:r>
          </w:p>
        </w:tc>
        <w:tc>
          <w:tcPr>
            <w:tcW w:w="1350" w:type="dxa"/>
            <w:shd w:val="clear" w:color="auto" w:fill="auto"/>
          </w:tcPr>
          <w:p w14:paraId="31559CC8" w14:textId="093F841F"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8</w:t>
            </w:r>
            <w:r>
              <w:rPr>
                <w:rFonts w:ascii="Arial" w:hAnsi="Arial" w:cs="Arial"/>
                <w:color w:val="auto"/>
                <w:sz w:val="22"/>
                <w:szCs w:val="22"/>
              </w:rPr>
              <w:t>5</w:t>
            </w:r>
            <w:r w:rsidRPr="0069144A">
              <w:rPr>
                <w:rFonts w:ascii="Arial" w:hAnsi="Arial" w:cs="Arial"/>
                <w:color w:val="auto"/>
                <w:sz w:val="22"/>
                <w:szCs w:val="22"/>
              </w:rPr>
              <w:t>%</w:t>
            </w:r>
          </w:p>
        </w:tc>
        <w:tc>
          <w:tcPr>
            <w:tcW w:w="1276" w:type="dxa"/>
            <w:shd w:val="clear" w:color="auto" w:fill="auto"/>
          </w:tcPr>
          <w:p w14:paraId="3C6C81DE" w14:textId="2F3D2D5C"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8</w:t>
            </w:r>
            <w:r>
              <w:rPr>
                <w:rFonts w:ascii="Arial" w:hAnsi="Arial" w:cs="Arial"/>
                <w:color w:val="auto"/>
                <w:sz w:val="22"/>
                <w:szCs w:val="22"/>
              </w:rPr>
              <w:t>9</w:t>
            </w:r>
            <w:r w:rsidRPr="0069144A">
              <w:rPr>
                <w:rFonts w:ascii="Arial" w:hAnsi="Arial" w:cs="Arial"/>
                <w:color w:val="auto"/>
                <w:sz w:val="22"/>
                <w:szCs w:val="22"/>
              </w:rPr>
              <w:t>%</w:t>
            </w:r>
          </w:p>
        </w:tc>
        <w:tc>
          <w:tcPr>
            <w:tcW w:w="1208" w:type="dxa"/>
            <w:shd w:val="clear" w:color="auto" w:fill="auto"/>
          </w:tcPr>
          <w:p w14:paraId="29BEF9FE" w14:textId="73CBA34F"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93</w:t>
            </w:r>
            <w:r w:rsidRPr="0069144A">
              <w:rPr>
                <w:rFonts w:ascii="Arial" w:hAnsi="Arial" w:cs="Arial"/>
                <w:color w:val="auto"/>
                <w:sz w:val="22"/>
                <w:szCs w:val="22"/>
              </w:rPr>
              <w:t>%</w:t>
            </w:r>
          </w:p>
        </w:tc>
        <w:tc>
          <w:tcPr>
            <w:tcW w:w="1130" w:type="dxa"/>
            <w:shd w:val="clear" w:color="auto" w:fill="auto"/>
          </w:tcPr>
          <w:p w14:paraId="1E893EAC" w14:textId="2499A26D"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85</w:t>
            </w:r>
            <w:r w:rsidRPr="0069144A">
              <w:rPr>
                <w:rFonts w:ascii="Arial" w:hAnsi="Arial" w:cs="Arial"/>
                <w:color w:val="auto"/>
                <w:sz w:val="22"/>
                <w:szCs w:val="22"/>
              </w:rPr>
              <w:t>%</w:t>
            </w:r>
          </w:p>
        </w:tc>
        <w:tc>
          <w:tcPr>
            <w:tcW w:w="1130" w:type="dxa"/>
          </w:tcPr>
          <w:p w14:paraId="1C3ED1BB" w14:textId="78ED90F4" w:rsidR="005016A6" w:rsidRPr="0069144A" w:rsidRDefault="005016A6" w:rsidP="0036543D">
            <w:pPr>
              <w:shd w:val="clear" w:color="auto" w:fill="FFFFFF" w:themeFill="background1"/>
              <w:suppressAutoHyphens w:val="0"/>
              <w:spacing w:after="0" w:line="240" w:lineRule="auto"/>
              <w:rPr>
                <w:rFonts w:cs="Arial"/>
                <w:color w:val="auto"/>
                <w:sz w:val="22"/>
                <w:szCs w:val="22"/>
              </w:rPr>
            </w:pPr>
            <w:r>
              <w:rPr>
                <w:rFonts w:cs="Arial"/>
                <w:color w:val="auto"/>
                <w:sz w:val="22"/>
                <w:szCs w:val="22"/>
              </w:rPr>
              <w:t>85%</w:t>
            </w:r>
          </w:p>
        </w:tc>
      </w:tr>
      <w:tr w:rsidR="005016A6" w:rsidRPr="005A3200" w14:paraId="703CFF9B" w14:textId="3100AE81" w:rsidTr="005016A6">
        <w:tc>
          <w:tcPr>
            <w:tcW w:w="1556" w:type="dxa"/>
          </w:tcPr>
          <w:p w14:paraId="3D7288FD" w14:textId="77777777" w:rsidR="005016A6" w:rsidRPr="00472AB1" w:rsidRDefault="005016A6" w:rsidP="0036543D">
            <w:pPr>
              <w:shd w:val="clear" w:color="auto" w:fill="FFFFFF" w:themeFill="background1"/>
              <w:suppressAutoHyphens w:val="0"/>
              <w:spacing w:after="0" w:line="240" w:lineRule="auto"/>
              <w:rPr>
                <w:rFonts w:ascii="Arial" w:hAnsi="Arial" w:cs="Arial"/>
                <w:b/>
                <w:color w:val="auto"/>
                <w:sz w:val="22"/>
                <w:szCs w:val="22"/>
              </w:rPr>
            </w:pPr>
            <w:r>
              <w:rPr>
                <w:rFonts w:ascii="Arial" w:hAnsi="Arial" w:cs="Arial"/>
                <w:b/>
                <w:color w:val="auto"/>
                <w:sz w:val="22"/>
                <w:szCs w:val="22"/>
              </w:rPr>
              <w:t>GDS</w:t>
            </w:r>
            <w:r w:rsidRPr="00472AB1">
              <w:rPr>
                <w:rFonts w:ascii="Arial" w:hAnsi="Arial" w:cs="Arial"/>
                <w:b/>
                <w:color w:val="auto"/>
                <w:sz w:val="22"/>
                <w:szCs w:val="22"/>
              </w:rPr>
              <w:t xml:space="preserve"> (110+) </w:t>
            </w:r>
          </w:p>
        </w:tc>
        <w:tc>
          <w:tcPr>
            <w:tcW w:w="1385" w:type="dxa"/>
            <w:shd w:val="clear" w:color="auto" w:fill="auto"/>
          </w:tcPr>
          <w:p w14:paraId="6DFE175E" w14:textId="3EF0EC6A"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w:t>
            </w:r>
          </w:p>
        </w:tc>
        <w:tc>
          <w:tcPr>
            <w:tcW w:w="1350" w:type="dxa"/>
            <w:shd w:val="clear" w:color="auto" w:fill="auto"/>
          </w:tcPr>
          <w:p w14:paraId="47D35999" w14:textId="5901F72A"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w:t>
            </w:r>
          </w:p>
        </w:tc>
        <w:tc>
          <w:tcPr>
            <w:tcW w:w="1276" w:type="dxa"/>
            <w:shd w:val="clear" w:color="auto" w:fill="auto"/>
          </w:tcPr>
          <w:p w14:paraId="12212484" w14:textId="4699014E"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w:t>
            </w:r>
          </w:p>
        </w:tc>
        <w:tc>
          <w:tcPr>
            <w:tcW w:w="1208" w:type="dxa"/>
            <w:shd w:val="clear" w:color="auto" w:fill="auto"/>
          </w:tcPr>
          <w:p w14:paraId="1C829EF1" w14:textId="7FF72252"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w:t>
            </w:r>
          </w:p>
        </w:tc>
        <w:tc>
          <w:tcPr>
            <w:tcW w:w="1130" w:type="dxa"/>
            <w:shd w:val="clear" w:color="auto" w:fill="auto"/>
          </w:tcPr>
          <w:p w14:paraId="5A1845DC" w14:textId="78AAFBB7"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0</w:t>
            </w:r>
            <w:r w:rsidRPr="0069144A">
              <w:rPr>
                <w:rFonts w:ascii="Arial" w:hAnsi="Arial" w:cs="Arial"/>
                <w:color w:val="auto"/>
                <w:sz w:val="22"/>
                <w:szCs w:val="22"/>
              </w:rPr>
              <w:t>%</w:t>
            </w:r>
          </w:p>
        </w:tc>
        <w:tc>
          <w:tcPr>
            <w:tcW w:w="1130" w:type="dxa"/>
            <w:shd w:val="clear" w:color="auto" w:fill="8DB3E2" w:themeFill="text2" w:themeFillTint="66"/>
          </w:tcPr>
          <w:p w14:paraId="02334DDA" w14:textId="77777777" w:rsidR="005016A6" w:rsidRPr="0069144A" w:rsidRDefault="005016A6" w:rsidP="0036543D">
            <w:pPr>
              <w:shd w:val="clear" w:color="auto" w:fill="FFFFFF" w:themeFill="background1"/>
              <w:suppressAutoHyphens w:val="0"/>
              <w:spacing w:after="0" w:line="240" w:lineRule="auto"/>
              <w:rPr>
                <w:rFonts w:cs="Arial"/>
                <w:color w:val="auto"/>
                <w:sz w:val="22"/>
                <w:szCs w:val="22"/>
              </w:rPr>
            </w:pPr>
          </w:p>
        </w:tc>
      </w:tr>
      <w:tr w:rsidR="005016A6" w:rsidRPr="005A3200" w14:paraId="27031E13" w14:textId="053E6683" w:rsidTr="005016A6">
        <w:tc>
          <w:tcPr>
            <w:tcW w:w="1556" w:type="dxa"/>
          </w:tcPr>
          <w:p w14:paraId="6F26D2B8" w14:textId="77777777" w:rsidR="005016A6" w:rsidRDefault="005016A6" w:rsidP="0036543D">
            <w:pPr>
              <w:shd w:val="clear" w:color="auto" w:fill="FFFFFF" w:themeFill="background1"/>
              <w:suppressAutoHyphens w:val="0"/>
              <w:spacing w:after="0" w:line="240" w:lineRule="auto"/>
              <w:rPr>
                <w:rFonts w:cs="Arial"/>
                <w:b/>
                <w:color w:val="auto"/>
                <w:sz w:val="22"/>
                <w:szCs w:val="22"/>
              </w:rPr>
            </w:pPr>
            <w:r w:rsidRPr="00454E33">
              <w:rPr>
                <w:rFonts w:cs="Arial"/>
                <w:b/>
                <w:color w:val="auto"/>
                <w:sz w:val="22"/>
                <w:szCs w:val="22"/>
              </w:rPr>
              <w:t>Non-</w:t>
            </w:r>
            <w:proofErr w:type="spellStart"/>
            <w:r w:rsidRPr="00454E33">
              <w:rPr>
                <w:rFonts w:cs="Arial"/>
                <w:b/>
                <w:color w:val="auto"/>
                <w:sz w:val="22"/>
                <w:szCs w:val="22"/>
              </w:rPr>
              <w:t>disadvan</w:t>
            </w:r>
            <w:proofErr w:type="spellEnd"/>
            <w:r w:rsidRPr="00454E33">
              <w:rPr>
                <w:rFonts w:cs="Arial"/>
                <w:b/>
                <w:color w:val="auto"/>
                <w:sz w:val="22"/>
                <w:szCs w:val="22"/>
              </w:rPr>
              <w:t>-</w:t>
            </w:r>
            <w:proofErr w:type="spellStart"/>
            <w:r w:rsidRPr="00454E33">
              <w:rPr>
                <w:rFonts w:cs="Arial"/>
                <w:b/>
                <w:color w:val="auto"/>
                <w:sz w:val="22"/>
                <w:szCs w:val="22"/>
              </w:rPr>
              <w:t>taged</w:t>
            </w:r>
            <w:proofErr w:type="spellEnd"/>
          </w:p>
        </w:tc>
        <w:tc>
          <w:tcPr>
            <w:tcW w:w="1385" w:type="dxa"/>
            <w:shd w:val="clear" w:color="auto" w:fill="auto"/>
          </w:tcPr>
          <w:p w14:paraId="3F6ECEF6" w14:textId="15E05F9E"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w:t>
            </w:r>
          </w:p>
        </w:tc>
        <w:tc>
          <w:tcPr>
            <w:tcW w:w="1350" w:type="dxa"/>
            <w:shd w:val="clear" w:color="auto" w:fill="auto"/>
          </w:tcPr>
          <w:p w14:paraId="19067F6C" w14:textId="69E9F3E9"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w:t>
            </w:r>
          </w:p>
        </w:tc>
        <w:tc>
          <w:tcPr>
            <w:tcW w:w="1276" w:type="dxa"/>
            <w:shd w:val="clear" w:color="auto" w:fill="auto"/>
          </w:tcPr>
          <w:p w14:paraId="295313B9" w14:textId="3B471049"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w:t>
            </w:r>
          </w:p>
        </w:tc>
        <w:tc>
          <w:tcPr>
            <w:tcW w:w="1208" w:type="dxa"/>
            <w:shd w:val="clear" w:color="auto" w:fill="auto"/>
          </w:tcPr>
          <w:p w14:paraId="7328709A" w14:textId="0175A0C4"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sidRPr="0069144A">
              <w:rPr>
                <w:rFonts w:ascii="Arial" w:hAnsi="Arial" w:cs="Arial"/>
                <w:color w:val="auto"/>
                <w:sz w:val="22"/>
                <w:szCs w:val="22"/>
              </w:rPr>
              <w:t>%</w:t>
            </w:r>
          </w:p>
        </w:tc>
        <w:tc>
          <w:tcPr>
            <w:tcW w:w="1130" w:type="dxa"/>
            <w:shd w:val="clear" w:color="auto" w:fill="auto"/>
          </w:tcPr>
          <w:p w14:paraId="7174C053" w14:textId="45F8E661" w:rsidR="005016A6" w:rsidRPr="0069144A" w:rsidRDefault="005016A6" w:rsidP="0036543D">
            <w:pPr>
              <w:shd w:val="clear" w:color="auto" w:fill="FFFFFF" w:themeFill="background1"/>
              <w:suppressAutoHyphens w:val="0"/>
              <w:spacing w:after="0" w:line="240" w:lineRule="auto"/>
              <w:rPr>
                <w:rFonts w:ascii="Arial" w:hAnsi="Arial" w:cs="Arial"/>
                <w:color w:val="auto"/>
                <w:sz w:val="22"/>
                <w:szCs w:val="22"/>
              </w:rPr>
            </w:pPr>
            <w:r>
              <w:rPr>
                <w:rFonts w:ascii="Arial" w:hAnsi="Arial" w:cs="Arial"/>
                <w:color w:val="auto"/>
                <w:sz w:val="22"/>
                <w:szCs w:val="22"/>
              </w:rPr>
              <w:t>0</w:t>
            </w:r>
            <w:r w:rsidRPr="0069144A">
              <w:rPr>
                <w:rFonts w:ascii="Arial" w:hAnsi="Arial" w:cs="Arial"/>
                <w:color w:val="auto"/>
                <w:sz w:val="22"/>
                <w:szCs w:val="22"/>
              </w:rPr>
              <w:t>%</w:t>
            </w:r>
          </w:p>
        </w:tc>
        <w:tc>
          <w:tcPr>
            <w:tcW w:w="1130" w:type="dxa"/>
            <w:shd w:val="clear" w:color="auto" w:fill="8DB3E2" w:themeFill="text2" w:themeFillTint="66"/>
          </w:tcPr>
          <w:p w14:paraId="45EF598D" w14:textId="77777777" w:rsidR="005016A6" w:rsidRPr="0069144A" w:rsidRDefault="005016A6" w:rsidP="0036543D">
            <w:pPr>
              <w:shd w:val="clear" w:color="auto" w:fill="FFFFFF" w:themeFill="background1"/>
              <w:suppressAutoHyphens w:val="0"/>
              <w:spacing w:after="0" w:line="240" w:lineRule="auto"/>
              <w:rPr>
                <w:rFonts w:cs="Arial"/>
                <w:color w:val="auto"/>
                <w:sz w:val="22"/>
                <w:szCs w:val="22"/>
              </w:rPr>
            </w:pPr>
          </w:p>
        </w:tc>
      </w:tr>
    </w:tbl>
    <w:p w14:paraId="3DA5845D" w14:textId="77777777" w:rsidR="00654BEE" w:rsidRDefault="00654BEE" w:rsidP="00654BEE">
      <w:pPr>
        <w:rPr>
          <w:rFonts w:cs="Arial"/>
          <w:sz w:val="22"/>
          <w:szCs w:val="22"/>
        </w:rPr>
      </w:pPr>
    </w:p>
    <w:p w14:paraId="4CED1281" w14:textId="77777777" w:rsidR="00654BEE" w:rsidRPr="00472AB1" w:rsidRDefault="00654BEE" w:rsidP="00654BEE">
      <w:pPr>
        <w:suppressAutoHyphens w:val="0"/>
        <w:autoSpaceDN/>
        <w:spacing w:after="0" w:line="240" w:lineRule="auto"/>
        <w:rPr>
          <w:rFonts w:ascii="Comic Sans MS" w:eastAsiaTheme="minorEastAsia" w:hAnsi="Comic Sans MS" w:cstheme="minorBidi"/>
          <w:color w:val="auto"/>
          <w:lang w:eastAsia="en-US"/>
        </w:rPr>
      </w:pPr>
    </w:p>
    <w:p w14:paraId="2A7D5564" w14:textId="5E77B234" w:rsidR="00E66558" w:rsidRPr="004A64BC" w:rsidRDefault="004A64BC">
      <w:pPr>
        <w:rPr>
          <w:rFonts w:cs="Arial"/>
          <w:sz w:val="22"/>
          <w:szCs w:val="22"/>
        </w:rPr>
      </w:pPr>
      <w:r w:rsidRPr="004A64BC">
        <w:rPr>
          <w:rFonts w:cs="Arial"/>
          <w:sz w:val="22"/>
          <w:szCs w:val="22"/>
        </w:rPr>
        <w:t xml:space="preserve">This details the impact that our pupil premium activity had on pupils in the 2022 to 2023 academic year. </w:t>
      </w:r>
    </w:p>
    <w:tbl>
      <w:tblPr>
        <w:tblStyle w:val="TableGrid"/>
        <w:tblW w:w="0" w:type="auto"/>
        <w:tblLook w:val="04A0" w:firstRow="1" w:lastRow="0" w:firstColumn="1" w:lastColumn="0" w:noHBand="0" w:noVBand="1"/>
      </w:tblPr>
      <w:tblGrid>
        <w:gridCol w:w="4743"/>
        <w:gridCol w:w="4743"/>
      </w:tblGrid>
      <w:tr w:rsidR="004A64BC" w:rsidRPr="004A64BC" w14:paraId="07EA2B4A" w14:textId="77777777" w:rsidTr="004A64BC">
        <w:tc>
          <w:tcPr>
            <w:tcW w:w="4743" w:type="dxa"/>
            <w:shd w:val="clear" w:color="auto" w:fill="C6D9F1" w:themeFill="text2" w:themeFillTint="33"/>
          </w:tcPr>
          <w:p w14:paraId="38DBF3C2" w14:textId="1247522A" w:rsidR="004A64BC" w:rsidRPr="004A64BC" w:rsidRDefault="004A64BC" w:rsidP="004A64BC">
            <w:pPr>
              <w:jc w:val="center"/>
              <w:rPr>
                <w:rFonts w:ascii="Arial" w:hAnsi="Arial" w:cs="Arial"/>
                <w:sz w:val="22"/>
                <w:szCs w:val="22"/>
              </w:rPr>
            </w:pPr>
            <w:r w:rsidRPr="004A64BC">
              <w:rPr>
                <w:rFonts w:ascii="Arial" w:hAnsi="Arial" w:cs="Arial"/>
                <w:sz w:val="22"/>
                <w:szCs w:val="22"/>
              </w:rPr>
              <w:t>Aim</w:t>
            </w:r>
          </w:p>
        </w:tc>
        <w:tc>
          <w:tcPr>
            <w:tcW w:w="4743" w:type="dxa"/>
            <w:shd w:val="clear" w:color="auto" w:fill="C6D9F1" w:themeFill="text2" w:themeFillTint="33"/>
          </w:tcPr>
          <w:p w14:paraId="69233D0E" w14:textId="6F931713" w:rsidR="004A64BC" w:rsidRPr="004A64BC" w:rsidRDefault="004A64BC" w:rsidP="004A64BC">
            <w:pPr>
              <w:jc w:val="center"/>
              <w:rPr>
                <w:rFonts w:ascii="Arial" w:hAnsi="Arial" w:cs="Arial"/>
                <w:sz w:val="22"/>
                <w:szCs w:val="22"/>
              </w:rPr>
            </w:pPr>
            <w:r w:rsidRPr="004A64BC">
              <w:rPr>
                <w:rFonts w:ascii="Arial" w:hAnsi="Arial" w:cs="Arial"/>
                <w:sz w:val="22"/>
                <w:szCs w:val="22"/>
              </w:rPr>
              <w:t>Outcome</w:t>
            </w:r>
          </w:p>
        </w:tc>
      </w:tr>
      <w:tr w:rsidR="004A64BC" w:rsidRPr="004A64BC" w14:paraId="280428CC" w14:textId="77777777" w:rsidTr="004A64BC">
        <w:tc>
          <w:tcPr>
            <w:tcW w:w="4743" w:type="dxa"/>
          </w:tcPr>
          <w:p w14:paraId="3D8B6A42" w14:textId="47996A46" w:rsidR="004A64BC" w:rsidRPr="000D5250" w:rsidRDefault="000D5250">
            <w:pPr>
              <w:rPr>
                <w:rFonts w:ascii="Arial" w:hAnsi="Arial" w:cs="Arial"/>
                <w:sz w:val="22"/>
                <w:szCs w:val="22"/>
              </w:rPr>
            </w:pPr>
            <w:r w:rsidRPr="000D5250">
              <w:rPr>
                <w:rFonts w:ascii="Arial" w:hAnsi="Arial" w:cs="Arial"/>
                <w:sz w:val="22"/>
                <w:szCs w:val="22"/>
              </w:rPr>
              <w:t>Improved oral language skills and vocabulary among disadvantaged pupils.</w:t>
            </w:r>
          </w:p>
        </w:tc>
        <w:tc>
          <w:tcPr>
            <w:tcW w:w="4743" w:type="dxa"/>
          </w:tcPr>
          <w:p w14:paraId="28783E8B" w14:textId="16788CF3" w:rsidR="004A64BC" w:rsidRPr="004A64BC" w:rsidRDefault="000D5250">
            <w:pPr>
              <w:rPr>
                <w:rFonts w:ascii="Arial" w:hAnsi="Arial" w:cs="Arial"/>
                <w:sz w:val="22"/>
                <w:szCs w:val="22"/>
              </w:rPr>
            </w:pPr>
            <w:r>
              <w:rPr>
                <w:rFonts w:ascii="Arial" w:hAnsi="Arial" w:cs="Arial"/>
                <w:sz w:val="22"/>
                <w:szCs w:val="22"/>
              </w:rPr>
              <w:t xml:space="preserve">In 2024 Pupils achieving GLD in Communication and Language in EYFS was </w:t>
            </w:r>
            <w:r>
              <w:rPr>
                <w:rFonts w:ascii="Arial" w:hAnsi="Arial" w:cs="Arial"/>
                <w:sz w:val="22"/>
                <w:szCs w:val="22"/>
              </w:rPr>
              <w:lastRenderedPageBreak/>
              <w:t>judged to be 87% which had improved from the previous year.</w:t>
            </w:r>
          </w:p>
        </w:tc>
      </w:tr>
      <w:tr w:rsidR="004A64BC" w14:paraId="161F320F" w14:textId="77777777" w:rsidTr="004A64BC">
        <w:tc>
          <w:tcPr>
            <w:tcW w:w="4743" w:type="dxa"/>
          </w:tcPr>
          <w:p w14:paraId="429DECD5" w14:textId="7CA6929A" w:rsidR="004A64BC" w:rsidRPr="00310D60" w:rsidRDefault="000D5250">
            <w:pPr>
              <w:rPr>
                <w:rFonts w:ascii="Arial" w:hAnsi="Arial" w:cs="Arial"/>
                <w:sz w:val="22"/>
                <w:szCs w:val="22"/>
              </w:rPr>
            </w:pPr>
            <w:r w:rsidRPr="00310D60">
              <w:rPr>
                <w:rFonts w:ascii="Arial" w:hAnsi="Arial" w:cs="Arial"/>
                <w:sz w:val="22"/>
                <w:szCs w:val="22"/>
              </w:rPr>
              <w:lastRenderedPageBreak/>
              <w:t>Improved attainment among disadvantaged pupils</w:t>
            </w:r>
            <w:r w:rsidR="00310D60" w:rsidRPr="00310D60">
              <w:rPr>
                <w:rFonts w:ascii="Arial" w:hAnsi="Arial" w:cs="Arial"/>
                <w:sz w:val="22"/>
                <w:szCs w:val="22"/>
              </w:rPr>
              <w:t>, where appropriate ensure that disadvantaged pupils have targeted support in reading and phonics – impact of the tutoring programme.</w:t>
            </w:r>
          </w:p>
        </w:tc>
        <w:tc>
          <w:tcPr>
            <w:tcW w:w="4743" w:type="dxa"/>
          </w:tcPr>
          <w:p w14:paraId="1CD78E3E" w14:textId="77777777" w:rsidR="004A64BC" w:rsidRPr="00310D60" w:rsidRDefault="00310D60">
            <w:pPr>
              <w:rPr>
                <w:rFonts w:ascii="Arial" w:hAnsi="Arial" w:cs="Arial"/>
                <w:sz w:val="22"/>
                <w:szCs w:val="22"/>
              </w:rPr>
            </w:pPr>
            <w:r w:rsidRPr="00310D60">
              <w:rPr>
                <w:rFonts w:ascii="Arial" w:hAnsi="Arial" w:cs="Arial"/>
                <w:sz w:val="22"/>
                <w:szCs w:val="22"/>
              </w:rPr>
              <w:t>3 out of the 4 pupils in Year 1 achieved the expected standard in their phonics. The Tutoring programme has been used to support additional Reading in KS1.</w:t>
            </w:r>
          </w:p>
          <w:p w14:paraId="7067A1D0" w14:textId="77777777" w:rsidR="00310D60" w:rsidRPr="00310D60" w:rsidRDefault="00310D60">
            <w:pPr>
              <w:rPr>
                <w:rFonts w:ascii="Arial" w:hAnsi="Arial" w:cs="Arial"/>
                <w:sz w:val="22"/>
                <w:szCs w:val="22"/>
              </w:rPr>
            </w:pPr>
            <w:r w:rsidRPr="00310D60">
              <w:rPr>
                <w:rFonts w:ascii="Arial" w:hAnsi="Arial" w:cs="Arial"/>
                <w:sz w:val="22"/>
                <w:szCs w:val="22"/>
              </w:rPr>
              <w:t>KS2</w:t>
            </w:r>
          </w:p>
          <w:tbl>
            <w:tblPr>
              <w:tblStyle w:val="TableGrid"/>
              <w:tblW w:w="0" w:type="auto"/>
              <w:tblLook w:val="04A0" w:firstRow="1" w:lastRow="0" w:firstColumn="1" w:lastColumn="0" w:noHBand="0" w:noVBand="1"/>
            </w:tblPr>
            <w:tblGrid>
              <w:gridCol w:w="1648"/>
              <w:gridCol w:w="1053"/>
              <w:gridCol w:w="943"/>
              <w:gridCol w:w="873"/>
            </w:tblGrid>
            <w:tr w:rsidR="00310D60" w:rsidRPr="00310D60" w14:paraId="54B370A1" w14:textId="77777777" w:rsidTr="00310D60">
              <w:tc>
                <w:tcPr>
                  <w:tcW w:w="1129" w:type="dxa"/>
                </w:tcPr>
                <w:p w14:paraId="2EBBF02D" w14:textId="469EF2B0" w:rsidR="00310D60" w:rsidRPr="00310D60" w:rsidRDefault="00310D60">
                  <w:pPr>
                    <w:rPr>
                      <w:rFonts w:ascii="Arial" w:hAnsi="Arial" w:cs="Arial"/>
                      <w:sz w:val="22"/>
                      <w:szCs w:val="22"/>
                    </w:rPr>
                  </w:pPr>
                  <w:r w:rsidRPr="00310D60">
                    <w:rPr>
                      <w:rFonts w:ascii="Arial" w:hAnsi="Arial" w:cs="Arial"/>
                      <w:sz w:val="22"/>
                      <w:szCs w:val="22"/>
                    </w:rPr>
                    <w:t>3 pupils</w:t>
                  </w:r>
                </w:p>
              </w:tc>
              <w:tc>
                <w:tcPr>
                  <w:tcW w:w="1129" w:type="dxa"/>
                </w:tcPr>
                <w:p w14:paraId="7AF9B500" w14:textId="65B87442" w:rsidR="00310D60" w:rsidRPr="00310D60" w:rsidRDefault="00310D60">
                  <w:pPr>
                    <w:rPr>
                      <w:rFonts w:ascii="Arial" w:hAnsi="Arial" w:cs="Arial"/>
                      <w:sz w:val="22"/>
                      <w:szCs w:val="22"/>
                    </w:rPr>
                  </w:pPr>
                  <w:r w:rsidRPr="00310D60">
                    <w:rPr>
                      <w:rFonts w:ascii="Arial" w:hAnsi="Arial" w:cs="Arial"/>
                      <w:sz w:val="22"/>
                      <w:szCs w:val="22"/>
                    </w:rPr>
                    <w:t>Reading</w:t>
                  </w:r>
                </w:p>
              </w:tc>
              <w:tc>
                <w:tcPr>
                  <w:tcW w:w="1129" w:type="dxa"/>
                </w:tcPr>
                <w:p w14:paraId="58A1CC37" w14:textId="5AFD6923" w:rsidR="00310D60" w:rsidRPr="00310D60" w:rsidRDefault="00310D60">
                  <w:pPr>
                    <w:rPr>
                      <w:rFonts w:ascii="Arial" w:hAnsi="Arial" w:cs="Arial"/>
                      <w:sz w:val="22"/>
                      <w:szCs w:val="22"/>
                    </w:rPr>
                  </w:pPr>
                  <w:r w:rsidRPr="00310D60">
                    <w:rPr>
                      <w:rFonts w:ascii="Arial" w:hAnsi="Arial" w:cs="Arial"/>
                      <w:sz w:val="22"/>
                      <w:szCs w:val="22"/>
                    </w:rPr>
                    <w:t>Writing</w:t>
                  </w:r>
                </w:p>
              </w:tc>
              <w:tc>
                <w:tcPr>
                  <w:tcW w:w="1130" w:type="dxa"/>
                </w:tcPr>
                <w:p w14:paraId="5224468D" w14:textId="7ED85030" w:rsidR="00310D60" w:rsidRPr="00310D60" w:rsidRDefault="00310D60">
                  <w:pPr>
                    <w:rPr>
                      <w:rFonts w:ascii="Arial" w:hAnsi="Arial" w:cs="Arial"/>
                      <w:sz w:val="22"/>
                      <w:szCs w:val="22"/>
                    </w:rPr>
                  </w:pPr>
                  <w:r w:rsidRPr="00310D60">
                    <w:rPr>
                      <w:rFonts w:ascii="Arial" w:hAnsi="Arial" w:cs="Arial"/>
                      <w:sz w:val="22"/>
                      <w:szCs w:val="22"/>
                    </w:rPr>
                    <w:t>Maths</w:t>
                  </w:r>
                </w:p>
              </w:tc>
            </w:tr>
            <w:tr w:rsidR="00310D60" w:rsidRPr="00310D60" w14:paraId="1546D6AB" w14:textId="77777777" w:rsidTr="00310D60">
              <w:tc>
                <w:tcPr>
                  <w:tcW w:w="1129" w:type="dxa"/>
                </w:tcPr>
                <w:p w14:paraId="02F4AF6D" w14:textId="3BC65E5C" w:rsidR="00310D60" w:rsidRPr="00310D60" w:rsidRDefault="00310D60">
                  <w:pPr>
                    <w:rPr>
                      <w:rFonts w:ascii="Arial" w:hAnsi="Arial" w:cs="Arial"/>
                      <w:sz w:val="22"/>
                      <w:szCs w:val="22"/>
                    </w:rPr>
                  </w:pPr>
                  <w:r w:rsidRPr="00310D60">
                    <w:rPr>
                      <w:rFonts w:ascii="Arial" w:hAnsi="Arial" w:cs="Arial"/>
                      <w:sz w:val="22"/>
                      <w:szCs w:val="22"/>
                    </w:rPr>
                    <w:t>Expected +</w:t>
                  </w:r>
                </w:p>
              </w:tc>
              <w:tc>
                <w:tcPr>
                  <w:tcW w:w="1129" w:type="dxa"/>
                </w:tcPr>
                <w:p w14:paraId="7FFAA164" w14:textId="5927E0C3" w:rsidR="00310D60" w:rsidRPr="00310D60" w:rsidRDefault="00310D60">
                  <w:pPr>
                    <w:rPr>
                      <w:rFonts w:ascii="Arial" w:hAnsi="Arial" w:cs="Arial"/>
                      <w:sz w:val="22"/>
                      <w:szCs w:val="22"/>
                    </w:rPr>
                  </w:pPr>
                  <w:r w:rsidRPr="00310D60">
                    <w:rPr>
                      <w:rFonts w:ascii="Arial" w:hAnsi="Arial" w:cs="Arial"/>
                      <w:sz w:val="22"/>
                      <w:szCs w:val="22"/>
                    </w:rPr>
                    <w:t>100%</w:t>
                  </w:r>
                </w:p>
              </w:tc>
              <w:tc>
                <w:tcPr>
                  <w:tcW w:w="1129" w:type="dxa"/>
                </w:tcPr>
                <w:p w14:paraId="4D0E6D65" w14:textId="60DC121E" w:rsidR="00310D60" w:rsidRPr="00310D60" w:rsidRDefault="00310D60">
                  <w:pPr>
                    <w:rPr>
                      <w:rFonts w:ascii="Arial" w:hAnsi="Arial" w:cs="Arial"/>
                      <w:sz w:val="22"/>
                      <w:szCs w:val="22"/>
                    </w:rPr>
                  </w:pPr>
                  <w:r w:rsidRPr="00310D60">
                    <w:rPr>
                      <w:rFonts w:ascii="Arial" w:hAnsi="Arial" w:cs="Arial"/>
                      <w:sz w:val="22"/>
                      <w:szCs w:val="22"/>
                    </w:rPr>
                    <w:t>67%</w:t>
                  </w:r>
                </w:p>
              </w:tc>
              <w:tc>
                <w:tcPr>
                  <w:tcW w:w="1130" w:type="dxa"/>
                </w:tcPr>
                <w:p w14:paraId="3D879408" w14:textId="7D588B3E" w:rsidR="00310D60" w:rsidRPr="00310D60" w:rsidRDefault="00310D60">
                  <w:pPr>
                    <w:rPr>
                      <w:rFonts w:ascii="Arial" w:hAnsi="Arial" w:cs="Arial"/>
                      <w:sz w:val="22"/>
                      <w:szCs w:val="22"/>
                    </w:rPr>
                  </w:pPr>
                  <w:r w:rsidRPr="00310D60">
                    <w:rPr>
                      <w:rFonts w:ascii="Arial" w:hAnsi="Arial" w:cs="Arial"/>
                      <w:sz w:val="22"/>
                      <w:szCs w:val="22"/>
                    </w:rPr>
                    <w:t>100%</w:t>
                  </w:r>
                </w:p>
              </w:tc>
            </w:tr>
            <w:tr w:rsidR="00310D60" w:rsidRPr="00310D60" w14:paraId="49981F70" w14:textId="77777777" w:rsidTr="00310D60">
              <w:tc>
                <w:tcPr>
                  <w:tcW w:w="1129" w:type="dxa"/>
                </w:tcPr>
                <w:p w14:paraId="59A616D7" w14:textId="7C94D6ED" w:rsidR="00310D60" w:rsidRPr="00310D60" w:rsidRDefault="00310D60">
                  <w:pPr>
                    <w:rPr>
                      <w:rFonts w:ascii="Arial" w:hAnsi="Arial" w:cs="Arial"/>
                      <w:sz w:val="22"/>
                      <w:szCs w:val="22"/>
                    </w:rPr>
                  </w:pPr>
                  <w:r w:rsidRPr="00310D60">
                    <w:rPr>
                      <w:rFonts w:ascii="Arial" w:hAnsi="Arial" w:cs="Arial"/>
                      <w:sz w:val="22"/>
                      <w:szCs w:val="22"/>
                    </w:rPr>
                    <w:t>Non- disadvantaged</w:t>
                  </w:r>
                </w:p>
              </w:tc>
              <w:tc>
                <w:tcPr>
                  <w:tcW w:w="1129" w:type="dxa"/>
                </w:tcPr>
                <w:p w14:paraId="53C72333" w14:textId="00EDDCA8" w:rsidR="00310D60" w:rsidRPr="00310D60" w:rsidRDefault="00310D60">
                  <w:pPr>
                    <w:rPr>
                      <w:rFonts w:ascii="Arial" w:hAnsi="Arial" w:cs="Arial"/>
                      <w:sz w:val="22"/>
                      <w:szCs w:val="22"/>
                    </w:rPr>
                  </w:pPr>
                  <w:r w:rsidRPr="00310D60">
                    <w:rPr>
                      <w:rFonts w:ascii="Arial" w:hAnsi="Arial" w:cs="Arial"/>
                      <w:sz w:val="22"/>
                      <w:szCs w:val="22"/>
                    </w:rPr>
                    <w:t>89%</w:t>
                  </w:r>
                </w:p>
              </w:tc>
              <w:tc>
                <w:tcPr>
                  <w:tcW w:w="1129" w:type="dxa"/>
                </w:tcPr>
                <w:p w14:paraId="199E475A" w14:textId="30AF40EC" w:rsidR="00310D60" w:rsidRPr="00310D60" w:rsidRDefault="00310D60">
                  <w:pPr>
                    <w:rPr>
                      <w:rFonts w:ascii="Arial" w:hAnsi="Arial" w:cs="Arial"/>
                      <w:sz w:val="22"/>
                      <w:szCs w:val="22"/>
                    </w:rPr>
                  </w:pPr>
                  <w:r w:rsidRPr="00310D60">
                    <w:rPr>
                      <w:rFonts w:ascii="Arial" w:hAnsi="Arial" w:cs="Arial"/>
                      <w:sz w:val="22"/>
                      <w:szCs w:val="22"/>
                    </w:rPr>
                    <w:t>85%</w:t>
                  </w:r>
                </w:p>
              </w:tc>
              <w:tc>
                <w:tcPr>
                  <w:tcW w:w="1130" w:type="dxa"/>
                </w:tcPr>
                <w:p w14:paraId="682409C8" w14:textId="059FCA40" w:rsidR="00310D60" w:rsidRPr="00310D60" w:rsidRDefault="00310D60">
                  <w:pPr>
                    <w:rPr>
                      <w:rFonts w:ascii="Arial" w:hAnsi="Arial" w:cs="Arial"/>
                      <w:sz w:val="22"/>
                      <w:szCs w:val="22"/>
                    </w:rPr>
                  </w:pPr>
                  <w:r w:rsidRPr="00310D60">
                    <w:rPr>
                      <w:rFonts w:ascii="Arial" w:hAnsi="Arial" w:cs="Arial"/>
                      <w:sz w:val="22"/>
                      <w:szCs w:val="22"/>
                    </w:rPr>
                    <w:t>89%</w:t>
                  </w:r>
                </w:p>
              </w:tc>
            </w:tr>
          </w:tbl>
          <w:p w14:paraId="3F936F3C" w14:textId="105BF2D7" w:rsidR="00310D60" w:rsidRPr="00310D60" w:rsidRDefault="00310D60">
            <w:pPr>
              <w:rPr>
                <w:rFonts w:ascii="Arial" w:hAnsi="Arial" w:cs="Arial"/>
                <w:sz w:val="22"/>
                <w:szCs w:val="22"/>
              </w:rPr>
            </w:pPr>
          </w:p>
        </w:tc>
      </w:tr>
      <w:tr w:rsidR="004A64BC" w14:paraId="2CF46CDC" w14:textId="77777777" w:rsidTr="004A64BC">
        <w:tc>
          <w:tcPr>
            <w:tcW w:w="4743" w:type="dxa"/>
          </w:tcPr>
          <w:p w14:paraId="45D01415" w14:textId="1DB3B402" w:rsidR="004A64BC" w:rsidRPr="00310D60" w:rsidRDefault="00310D60">
            <w:pPr>
              <w:rPr>
                <w:rFonts w:ascii="Arial" w:hAnsi="Arial" w:cs="Arial"/>
              </w:rPr>
            </w:pPr>
            <w:r w:rsidRPr="00310D60">
              <w:rPr>
                <w:rFonts w:ascii="Arial" w:hAnsi="Arial" w:cs="Arial"/>
                <w:sz w:val="22"/>
                <w:szCs w:val="22"/>
              </w:rPr>
              <w:t>All pupils regardless of background to be given the same opportunities regardless of financial background.</w:t>
            </w:r>
          </w:p>
        </w:tc>
        <w:tc>
          <w:tcPr>
            <w:tcW w:w="4743" w:type="dxa"/>
          </w:tcPr>
          <w:p w14:paraId="5A9F5107" w14:textId="1C7766A9" w:rsidR="004A64BC" w:rsidRPr="00007D2D" w:rsidRDefault="00310D60">
            <w:pPr>
              <w:rPr>
                <w:rFonts w:ascii="Arial" w:hAnsi="Arial" w:cs="Arial"/>
                <w:sz w:val="22"/>
                <w:szCs w:val="22"/>
              </w:rPr>
            </w:pPr>
            <w:r w:rsidRPr="00007D2D">
              <w:rPr>
                <w:rFonts w:ascii="Arial" w:hAnsi="Arial" w:cs="Arial"/>
                <w:sz w:val="22"/>
                <w:szCs w:val="22"/>
              </w:rPr>
              <w:t xml:space="preserve">All pupils accessed extra-curricular activities with reduced costs and financial assistance. </w:t>
            </w:r>
          </w:p>
        </w:tc>
      </w:tr>
      <w:tr w:rsidR="00310D60" w14:paraId="4B37F174" w14:textId="77777777" w:rsidTr="004A64BC">
        <w:tc>
          <w:tcPr>
            <w:tcW w:w="4743" w:type="dxa"/>
          </w:tcPr>
          <w:p w14:paraId="3800FC4E" w14:textId="23BDB163" w:rsidR="00310D60" w:rsidRPr="00653E71" w:rsidRDefault="00310D60" w:rsidP="00310D60">
            <w:pPr>
              <w:rPr>
                <w:rFonts w:ascii="Arial" w:hAnsi="Arial" w:cs="Arial"/>
                <w:sz w:val="22"/>
                <w:szCs w:val="22"/>
              </w:rPr>
            </w:pPr>
            <w:r w:rsidRPr="00653E71">
              <w:rPr>
                <w:rFonts w:ascii="Arial" w:hAnsi="Arial" w:cs="Arial"/>
                <w:sz w:val="22"/>
                <w:szCs w:val="22"/>
              </w:rPr>
              <w:t xml:space="preserve">To achieve and sustain improved wellbeing for all </w:t>
            </w:r>
            <w:r w:rsidR="00007D2D">
              <w:rPr>
                <w:rFonts w:ascii="Arial" w:hAnsi="Arial" w:cs="Arial"/>
                <w:sz w:val="22"/>
                <w:szCs w:val="22"/>
              </w:rPr>
              <w:t>p</w:t>
            </w:r>
            <w:r w:rsidRPr="00653E71">
              <w:rPr>
                <w:rFonts w:ascii="Arial" w:hAnsi="Arial" w:cs="Arial"/>
                <w:sz w:val="22"/>
                <w:szCs w:val="22"/>
              </w:rPr>
              <w:t xml:space="preserve">upils in school, particularly our disadvantaged pupils. </w:t>
            </w:r>
          </w:p>
        </w:tc>
        <w:tc>
          <w:tcPr>
            <w:tcW w:w="4743" w:type="dxa"/>
          </w:tcPr>
          <w:p w14:paraId="18DC01A6" w14:textId="6C224DC8" w:rsidR="00310D60" w:rsidRPr="00007D2D" w:rsidRDefault="00310D60" w:rsidP="00310D60">
            <w:pPr>
              <w:rPr>
                <w:rFonts w:ascii="Arial" w:hAnsi="Arial" w:cs="Arial"/>
                <w:sz w:val="22"/>
                <w:szCs w:val="22"/>
              </w:rPr>
            </w:pPr>
            <w:r w:rsidRPr="00007D2D">
              <w:rPr>
                <w:rFonts w:ascii="Arial" w:hAnsi="Arial" w:cs="Arial"/>
                <w:sz w:val="22"/>
                <w:szCs w:val="22"/>
              </w:rPr>
              <w:t>Emotional mental health and wellbeing remains a high priority with ongoing staff training. A Teaching Assistant.</w:t>
            </w:r>
            <w:r w:rsidR="00653E71" w:rsidRPr="00007D2D">
              <w:rPr>
                <w:rFonts w:ascii="Arial" w:hAnsi="Arial" w:cs="Arial"/>
                <w:sz w:val="22"/>
                <w:szCs w:val="22"/>
              </w:rPr>
              <w:t xml:space="preserve"> </w:t>
            </w:r>
            <w:r w:rsidRPr="00007D2D">
              <w:rPr>
                <w:rFonts w:ascii="Arial" w:hAnsi="Arial" w:cs="Arial"/>
                <w:sz w:val="22"/>
                <w:szCs w:val="22"/>
              </w:rPr>
              <w:t>Head teacher and SENCo provide emotional support</w:t>
            </w:r>
            <w:r w:rsidR="00653E71" w:rsidRPr="00007D2D">
              <w:rPr>
                <w:rFonts w:ascii="Arial" w:hAnsi="Arial" w:cs="Arial"/>
                <w:sz w:val="22"/>
                <w:szCs w:val="22"/>
              </w:rPr>
              <w:t>. As do our Wellbeing Champions and the Wellbeing club. S</w:t>
            </w:r>
            <w:r w:rsidRPr="00007D2D">
              <w:rPr>
                <w:rFonts w:ascii="Arial" w:hAnsi="Arial" w:cs="Arial"/>
                <w:sz w:val="22"/>
                <w:szCs w:val="22"/>
              </w:rPr>
              <w:t>ome families have accessed further support through TOG Mind and Early Help.</w:t>
            </w:r>
          </w:p>
        </w:tc>
      </w:tr>
      <w:tr w:rsidR="00653E71" w14:paraId="5A7AD4C7" w14:textId="77777777" w:rsidTr="004A64BC">
        <w:tc>
          <w:tcPr>
            <w:tcW w:w="4743" w:type="dxa"/>
          </w:tcPr>
          <w:p w14:paraId="59C7045E" w14:textId="4D499D91" w:rsidR="00653E71" w:rsidRPr="00653E71" w:rsidRDefault="00653E71" w:rsidP="00310D60">
            <w:pPr>
              <w:rPr>
                <w:rFonts w:ascii="Arial" w:hAnsi="Arial" w:cs="Arial"/>
                <w:sz w:val="22"/>
                <w:szCs w:val="22"/>
              </w:rPr>
            </w:pPr>
            <w:r w:rsidRPr="00653E71">
              <w:rPr>
                <w:rFonts w:ascii="Arial" w:hAnsi="Arial" w:cs="Arial"/>
                <w:sz w:val="22"/>
                <w:szCs w:val="22"/>
              </w:rPr>
              <w:t xml:space="preserve">To improve Attendance and reduce the number of Persistent absentees. </w:t>
            </w:r>
          </w:p>
        </w:tc>
        <w:tc>
          <w:tcPr>
            <w:tcW w:w="4743" w:type="dxa"/>
          </w:tcPr>
          <w:p w14:paraId="42FF62B7" w14:textId="2BAA2EF2" w:rsidR="00653E71" w:rsidRPr="00007D2D" w:rsidRDefault="00653E71" w:rsidP="00310D60">
            <w:pPr>
              <w:rPr>
                <w:rFonts w:ascii="Arial" w:hAnsi="Arial" w:cs="Arial"/>
                <w:sz w:val="22"/>
                <w:szCs w:val="22"/>
              </w:rPr>
            </w:pPr>
            <w:r w:rsidRPr="00007D2D">
              <w:rPr>
                <w:rFonts w:ascii="Arial" w:hAnsi="Arial" w:cs="Arial"/>
                <w:sz w:val="22"/>
                <w:szCs w:val="22"/>
              </w:rPr>
              <w:t>Attendance was maintained last year at 96%, the same as the year before but PA was reduced from 67.2% to 4.3%</w:t>
            </w:r>
            <w:r w:rsidR="00007D2D" w:rsidRPr="00007D2D">
              <w:rPr>
                <w:rFonts w:ascii="Arial" w:hAnsi="Arial" w:cs="Arial"/>
                <w:sz w:val="22"/>
                <w:szCs w:val="22"/>
              </w:rPr>
              <w:t>.</w:t>
            </w:r>
          </w:p>
        </w:tc>
      </w:tr>
    </w:tbl>
    <w:p w14:paraId="5CEED060" w14:textId="77777777" w:rsidR="004A64BC" w:rsidRDefault="004A64BC"/>
    <w:p w14:paraId="71E26C63" w14:textId="77777777" w:rsidR="000D5250" w:rsidRDefault="000D5250"/>
    <w:sectPr w:rsidR="000D5250">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CF084" w14:textId="77777777" w:rsidR="009B25E9" w:rsidRDefault="009B25E9">
      <w:pPr>
        <w:spacing w:after="0" w:line="240" w:lineRule="auto"/>
      </w:pPr>
      <w:r>
        <w:separator/>
      </w:r>
    </w:p>
  </w:endnote>
  <w:endnote w:type="continuationSeparator" w:id="0">
    <w:p w14:paraId="433BA183" w14:textId="77777777" w:rsidR="009B25E9" w:rsidRDefault="009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704E43" w:rsidRDefault="009D71E8">
    <w:pPr>
      <w:pStyle w:val="Footer"/>
      <w:ind w:firstLine="4513"/>
    </w:pPr>
    <w:r>
      <w:fldChar w:fldCharType="begin"/>
    </w:r>
    <w:r>
      <w:instrText xml:space="preserve"> PAGE </w:instrText>
    </w:r>
    <w:r>
      <w:fldChar w:fldCharType="separate"/>
    </w:r>
    <w:r w:rsidR="00F6318A">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30A4A" w14:textId="77777777" w:rsidR="009B25E9" w:rsidRDefault="009B25E9">
      <w:pPr>
        <w:spacing w:after="0" w:line="240" w:lineRule="auto"/>
      </w:pPr>
      <w:r>
        <w:separator/>
      </w:r>
    </w:p>
  </w:footnote>
  <w:footnote w:type="continuationSeparator" w:id="0">
    <w:p w14:paraId="5087885A" w14:textId="77777777" w:rsidR="009B25E9" w:rsidRDefault="009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74052B"/>
    <w:multiLevelType w:val="hybridMultilevel"/>
    <w:tmpl w:val="0388C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1778EA"/>
    <w:multiLevelType w:val="hybridMultilevel"/>
    <w:tmpl w:val="1650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BD32A38"/>
    <w:multiLevelType w:val="hybridMultilevel"/>
    <w:tmpl w:val="DCFC2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BA23DA"/>
    <w:multiLevelType w:val="hybridMultilevel"/>
    <w:tmpl w:val="29A4E59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93479857">
    <w:abstractNumId w:val="4"/>
  </w:num>
  <w:num w:numId="2" w16cid:durableId="1503424769">
    <w:abstractNumId w:val="2"/>
  </w:num>
  <w:num w:numId="3" w16cid:durableId="734202227">
    <w:abstractNumId w:val="5"/>
  </w:num>
  <w:num w:numId="4" w16cid:durableId="1250843707">
    <w:abstractNumId w:val="6"/>
  </w:num>
  <w:num w:numId="5" w16cid:durableId="1188450917">
    <w:abstractNumId w:val="0"/>
  </w:num>
  <w:num w:numId="6" w16cid:durableId="1937595388">
    <w:abstractNumId w:val="8"/>
  </w:num>
  <w:num w:numId="7" w16cid:durableId="651907061">
    <w:abstractNumId w:val="12"/>
  </w:num>
  <w:num w:numId="8" w16cid:durableId="1743486444">
    <w:abstractNumId w:val="16"/>
  </w:num>
  <w:num w:numId="9" w16cid:durableId="2136023582">
    <w:abstractNumId w:val="14"/>
  </w:num>
  <w:num w:numId="10" w16cid:durableId="860245859">
    <w:abstractNumId w:val="13"/>
  </w:num>
  <w:num w:numId="11" w16cid:durableId="375742175">
    <w:abstractNumId w:val="3"/>
  </w:num>
  <w:num w:numId="12" w16cid:durableId="799231002">
    <w:abstractNumId w:val="15"/>
  </w:num>
  <w:num w:numId="13" w16cid:durableId="974217250">
    <w:abstractNumId w:val="11"/>
  </w:num>
  <w:num w:numId="14" w16cid:durableId="662244173">
    <w:abstractNumId w:val="9"/>
  </w:num>
  <w:num w:numId="15" w16cid:durableId="179010710">
    <w:abstractNumId w:val="7"/>
  </w:num>
  <w:num w:numId="16" w16cid:durableId="1272276854">
    <w:abstractNumId w:val="10"/>
  </w:num>
  <w:num w:numId="17" w16cid:durableId="174564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7D2D"/>
    <w:rsid w:val="000368EA"/>
    <w:rsid w:val="00043952"/>
    <w:rsid w:val="0004546C"/>
    <w:rsid w:val="00053342"/>
    <w:rsid w:val="00053652"/>
    <w:rsid w:val="00064B0A"/>
    <w:rsid w:val="00066B73"/>
    <w:rsid w:val="00086689"/>
    <w:rsid w:val="000B1761"/>
    <w:rsid w:val="000C630D"/>
    <w:rsid w:val="000D5250"/>
    <w:rsid w:val="000D622E"/>
    <w:rsid w:val="000E6095"/>
    <w:rsid w:val="000F0A12"/>
    <w:rsid w:val="00115BB2"/>
    <w:rsid w:val="00120AB1"/>
    <w:rsid w:val="00176A03"/>
    <w:rsid w:val="001A6C77"/>
    <w:rsid w:val="001D1273"/>
    <w:rsid w:val="0023269B"/>
    <w:rsid w:val="00235406"/>
    <w:rsid w:val="00246626"/>
    <w:rsid w:val="00246729"/>
    <w:rsid w:val="00252D8E"/>
    <w:rsid w:val="00271AF9"/>
    <w:rsid w:val="0029145E"/>
    <w:rsid w:val="002E48A9"/>
    <w:rsid w:val="00310D60"/>
    <w:rsid w:val="003219B9"/>
    <w:rsid w:val="00343015"/>
    <w:rsid w:val="00374376"/>
    <w:rsid w:val="003F30BD"/>
    <w:rsid w:val="004044AA"/>
    <w:rsid w:val="00415E97"/>
    <w:rsid w:val="00421D4D"/>
    <w:rsid w:val="0042602A"/>
    <w:rsid w:val="00454E33"/>
    <w:rsid w:val="00472AB1"/>
    <w:rsid w:val="0048770F"/>
    <w:rsid w:val="00495212"/>
    <w:rsid w:val="004A64BC"/>
    <w:rsid w:val="005016A6"/>
    <w:rsid w:val="0051621B"/>
    <w:rsid w:val="0052069C"/>
    <w:rsid w:val="005216BB"/>
    <w:rsid w:val="00547681"/>
    <w:rsid w:val="00582951"/>
    <w:rsid w:val="005A1738"/>
    <w:rsid w:val="005A3200"/>
    <w:rsid w:val="006136C5"/>
    <w:rsid w:val="00614D8D"/>
    <w:rsid w:val="0064515B"/>
    <w:rsid w:val="00653E71"/>
    <w:rsid w:val="00654BEE"/>
    <w:rsid w:val="0069144A"/>
    <w:rsid w:val="006A5796"/>
    <w:rsid w:val="006B4EDB"/>
    <w:rsid w:val="006C7416"/>
    <w:rsid w:val="006E7FB1"/>
    <w:rsid w:val="00704E43"/>
    <w:rsid w:val="007325A2"/>
    <w:rsid w:val="00741B9E"/>
    <w:rsid w:val="00770B96"/>
    <w:rsid w:val="0078784C"/>
    <w:rsid w:val="00792940"/>
    <w:rsid w:val="00796CC6"/>
    <w:rsid w:val="007B2DDD"/>
    <w:rsid w:val="007B3808"/>
    <w:rsid w:val="007C2F04"/>
    <w:rsid w:val="007E755E"/>
    <w:rsid w:val="00835654"/>
    <w:rsid w:val="00853023"/>
    <w:rsid w:val="00863924"/>
    <w:rsid w:val="00871C6E"/>
    <w:rsid w:val="0087692C"/>
    <w:rsid w:val="00880671"/>
    <w:rsid w:val="00880AAA"/>
    <w:rsid w:val="008F5447"/>
    <w:rsid w:val="00914565"/>
    <w:rsid w:val="009B25E9"/>
    <w:rsid w:val="009C15D1"/>
    <w:rsid w:val="009D71E8"/>
    <w:rsid w:val="009E1CC7"/>
    <w:rsid w:val="00A34395"/>
    <w:rsid w:val="00A439B9"/>
    <w:rsid w:val="00A7295D"/>
    <w:rsid w:val="00AB32DB"/>
    <w:rsid w:val="00B23C21"/>
    <w:rsid w:val="00B34967"/>
    <w:rsid w:val="00B70494"/>
    <w:rsid w:val="00BA3806"/>
    <w:rsid w:val="00BB57A5"/>
    <w:rsid w:val="00C1101C"/>
    <w:rsid w:val="00C12F0A"/>
    <w:rsid w:val="00C41FCD"/>
    <w:rsid w:val="00C4785B"/>
    <w:rsid w:val="00C57367"/>
    <w:rsid w:val="00C921C0"/>
    <w:rsid w:val="00D33FE5"/>
    <w:rsid w:val="00DC087A"/>
    <w:rsid w:val="00E411B5"/>
    <w:rsid w:val="00E66558"/>
    <w:rsid w:val="00E80BC6"/>
    <w:rsid w:val="00E9297D"/>
    <w:rsid w:val="00EB48CD"/>
    <w:rsid w:val="00EC1FA3"/>
    <w:rsid w:val="00F30735"/>
    <w:rsid w:val="00F6318A"/>
    <w:rsid w:val="00F90EAD"/>
    <w:rsid w:val="00F950B6"/>
    <w:rsid w:val="00F96B72"/>
    <w:rsid w:val="00FB0465"/>
    <w:rsid w:val="00FE58E1"/>
    <w:rsid w:val="00FF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2575F850-F9B5-4A76-9BEE-62CC0A41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9E1CC7"/>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D622E"/>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622E"/>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3200"/>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2AB1"/>
    <w:pPr>
      <w:autoSpaceDN/>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6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65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education-evidence/teaching-learning-toolkit/one-to-one-tu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phon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endowmentfoundation.org.uk/tools/assessing-and-monitoring-pupil-progress/testing/standardised-tests" TargetMode="External"/><Relationship Id="rId4" Type="http://schemas.openxmlformats.org/officeDocument/2006/relationships/settings" Target="settings.xml"/><Relationship Id="rId9" Type="http://schemas.openxmlformats.org/officeDocument/2006/relationships/hyperlink" Target="https://d2tic4wvo1iusb.cloudfront.net/documents/guidance/EEF_Maths_Evidence_Review.pdf?v=1629121262" TargetMode="External"/><Relationship Id="rId14" Type="http://schemas.openxmlformats.org/officeDocument/2006/relationships/hyperlink" Target="https://educationendowmentfoundation.org.uk/education-evidence/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A83A-C3C8-432D-9CEB-4A56B5A7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Sarah Healey</cp:lastModifiedBy>
  <cp:revision>11</cp:revision>
  <cp:lastPrinted>2023-11-01T10:01:00Z</cp:lastPrinted>
  <dcterms:created xsi:type="dcterms:W3CDTF">2024-09-17T10:31:00Z</dcterms:created>
  <dcterms:modified xsi:type="dcterms:W3CDTF">2024-09-18T09:50:00Z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